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6C49" w14:textId="77777777" w:rsidR="004A7A75" w:rsidRPr="004A7A75" w:rsidRDefault="004A7A75" w:rsidP="0065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A7A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Доклад министра экономики и территориального развития</w:t>
      </w:r>
    </w:p>
    <w:p w14:paraId="43930D2D" w14:textId="77777777" w:rsidR="004A7A75" w:rsidRPr="004A7A75" w:rsidRDefault="004A7A75" w:rsidP="0065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A7A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Республики Дагестан Г.Р. Султанова к проекту закона Республики Дагестан</w:t>
      </w:r>
    </w:p>
    <w:p w14:paraId="7B6D5D52" w14:textId="77777777" w:rsidR="004A7A75" w:rsidRPr="004A7A75" w:rsidRDefault="004A7A75" w:rsidP="00654F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</w:pPr>
      <w:r w:rsidRPr="004A7A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«О внесении изменений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 статью 1 Закона Республики Дагестан </w:t>
      </w:r>
      <w:r w:rsidR="00654F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«Об установлении на территории Республики Дагестан </w:t>
      </w:r>
      <w:r w:rsidR="00654F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инвестиционного налогового вычета</w:t>
      </w:r>
      <w:r w:rsidRPr="004A7A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2DA21B29" w14:textId="77777777" w:rsidR="004A7A75" w:rsidRPr="004A7A75" w:rsidRDefault="004A7A75" w:rsidP="00654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</w:pPr>
      <w:r w:rsidRPr="004A7A75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549D0" wp14:editId="30FD7E57">
                <wp:simplePos x="0" y="0"/>
                <wp:positionH relativeFrom="margin">
                  <wp:posOffset>-154940</wp:posOffset>
                </wp:positionH>
                <wp:positionV relativeFrom="paragraph">
                  <wp:posOffset>12065</wp:posOffset>
                </wp:positionV>
                <wp:extent cx="49606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4C9D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.2pt,.95pt" to="378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3EF8BDD9" w14:textId="77777777" w:rsidR="004A7A75" w:rsidRPr="004A7A75" w:rsidRDefault="00701432" w:rsidP="00654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 xml:space="preserve">К </w:t>
      </w:r>
      <w:r w:rsidR="00D92454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с</w:t>
      </w:r>
      <w:r w:rsidR="004A7A75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орок первой</w:t>
      </w:r>
      <w:r w:rsidR="004A7A75" w:rsidRPr="004A7A75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="006D2A73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с</w:t>
      </w:r>
      <w:r w:rsidR="004A7A75" w:rsidRPr="004A7A75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ессии Народного Собрания Республики Дагестан</w:t>
      </w:r>
    </w:p>
    <w:p w14:paraId="67981262" w14:textId="77777777" w:rsidR="004A7A75" w:rsidRPr="004A7A75" w:rsidRDefault="004A7A75" w:rsidP="00654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</w:pPr>
      <w:r w:rsidRPr="004A7A75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7</w:t>
      </w:r>
      <w:r w:rsidRPr="004A7A75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0</w:t>
      </w:r>
      <w:r w:rsidRPr="004A7A75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2.202</w:t>
      </w:r>
      <w:r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5</w:t>
      </w:r>
      <w:r w:rsidRPr="004A7A75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, 10</w:t>
      </w:r>
      <w:r w:rsidR="00D92454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:</w:t>
      </w:r>
      <w:r w:rsidRPr="004A7A75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:lang w:eastAsia="ru-RU"/>
          <w14:ligatures w14:val="none"/>
        </w:rPr>
        <w:t>00 ч.</w:t>
      </w:r>
    </w:p>
    <w:p w14:paraId="500630A9" w14:textId="77777777" w:rsidR="004A7A75" w:rsidRPr="004A7A75" w:rsidRDefault="004A7A75" w:rsidP="0065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</w:pPr>
    </w:p>
    <w:p w14:paraId="1885B54A" w14:textId="77777777" w:rsidR="004A7A75" w:rsidRPr="004A7A75" w:rsidRDefault="004A7A75" w:rsidP="007A1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</w:pPr>
      <w:r w:rsidRPr="004A7A7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 xml:space="preserve">Уважаемый Сергей </w:t>
      </w:r>
      <w:proofErr w:type="spellStart"/>
      <w:r w:rsidRPr="004A7A7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>Алимович</w:t>
      </w:r>
      <w:proofErr w:type="spellEnd"/>
      <w:r w:rsidRPr="004A7A7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>!</w:t>
      </w:r>
    </w:p>
    <w:p w14:paraId="5C888EF4" w14:textId="77777777" w:rsidR="004A7A75" w:rsidRPr="004A7A75" w:rsidRDefault="004A7A75" w:rsidP="007A1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</w:pPr>
      <w:r w:rsidRPr="004A7A7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 xml:space="preserve">Уважаемый Заур </w:t>
      </w:r>
      <w:proofErr w:type="spellStart"/>
      <w:r w:rsidRPr="004A7A7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>Асевович</w:t>
      </w:r>
      <w:proofErr w:type="spellEnd"/>
      <w:r w:rsidRPr="004A7A7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>!</w:t>
      </w:r>
    </w:p>
    <w:p w14:paraId="7DE113E2" w14:textId="77777777" w:rsidR="004A7A75" w:rsidRPr="004A7A75" w:rsidRDefault="004A7A75" w:rsidP="007A1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</w:pPr>
      <w:r w:rsidRPr="004A7A7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>Уважаемые депутаты!</w:t>
      </w:r>
    </w:p>
    <w:p w14:paraId="3EC4BEDC" w14:textId="77777777" w:rsidR="004A7A75" w:rsidRPr="004A7A75" w:rsidRDefault="004A7A75" w:rsidP="007A1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1CDADE35" w14:textId="77777777" w:rsidR="004A7A75" w:rsidRPr="00307C2B" w:rsidRDefault="004A7A75" w:rsidP="004A7A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138B5A65" w14:textId="77777777" w:rsidR="004A7A75" w:rsidRPr="00307C2B" w:rsidRDefault="004A7A75" w:rsidP="004A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307C2B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eastAsia="ru-RU"/>
          <w14:ligatures w14:val="none"/>
        </w:rPr>
        <w:t>На Ваше рассмотрение представляется проект закона Республики Дагестан</w:t>
      </w:r>
      <w:r w:rsidRPr="00307C2B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8"/>
          <w:lang w:eastAsia="ru-RU"/>
          <w14:ligatures w14:val="none"/>
        </w:rPr>
        <w:br/>
      </w:r>
      <w:r w:rsidRPr="00307C2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«О внесении изменений в статью 1 Закона Республики Дагестан «Об установлении на территории Республики Дагестан инвестиционного налогового вычета» (далее – проект закона).</w:t>
      </w:r>
    </w:p>
    <w:p w14:paraId="64177E93" w14:textId="77777777" w:rsidR="004A7A75" w:rsidRPr="00307C2B" w:rsidRDefault="004A7A75" w:rsidP="004A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307C2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Проект закона подготовлен в целях исполнения пункта 2 раздела </w:t>
      </w:r>
      <w:r w:rsidRPr="00307C2B">
        <w:rPr>
          <w:rFonts w:ascii="Times New Roman" w:eastAsia="Calibri" w:hAnsi="Times New Roman" w:cs="Times New Roman"/>
          <w:i/>
          <w:kern w:val="0"/>
          <w:sz w:val="28"/>
          <w:szCs w:val="28"/>
          <w:lang w:val="en-US"/>
          <w14:ligatures w14:val="none"/>
        </w:rPr>
        <w:t>I</w:t>
      </w:r>
      <w:r w:rsidRPr="00307C2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Протокола совещания от 25 октября 2024 года № 83-СН под председательством заместителя Министра экономического развития Российской Федерации С.М. Назарова </w:t>
      </w:r>
      <w:r w:rsidRPr="00307C2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br/>
        <w:t xml:space="preserve">по вопросу увеличения количества предприятий, участвующих в федеральном проекте «Профессионалитет», в субъектах Российской Федерации, входящих </w:t>
      </w:r>
      <w:r w:rsidR="00FA31F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br/>
      </w:r>
      <w:r w:rsidRPr="00307C2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в состав Северо-Кавказского федерального округа.</w:t>
      </w:r>
    </w:p>
    <w:p w14:paraId="745FBBD8" w14:textId="77777777" w:rsidR="004A7A75" w:rsidRPr="00C0214B" w:rsidRDefault="004A7A75" w:rsidP="004A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C0214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Механизм применения инвестиционного налогового вычета предусматривает уменьшение суммы налога на прибыль на сумму расходов организации </w:t>
      </w:r>
      <w:r w:rsidRPr="00C0214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br/>
        <w:t>по определенным в Налоговом кодексе Российской Федерации направлениям.</w:t>
      </w:r>
    </w:p>
    <w:p w14:paraId="17B643A2" w14:textId="77777777" w:rsidR="00A02804" w:rsidRDefault="00307C2B" w:rsidP="004A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роект закона предусматривает установление инвестиционного налогового вычета предприятиям</w:t>
      </w:r>
      <w:r w:rsidR="004A7A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(или) их обособленным подразделениям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безвозмездно передавшим имущество (включая денежные средства) образовательным организациям</w:t>
      </w:r>
      <w:r w:rsidR="00A028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64D6290" w14:textId="77777777" w:rsidR="00BF602E" w:rsidRDefault="00A02804" w:rsidP="004A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Необходимым условием </w:t>
      </w:r>
      <w:r w:rsidR="00BF60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является 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реализ</w:t>
      </w:r>
      <w:r w:rsidR="00BF60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ация образовательными организациями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основны</w:t>
      </w:r>
      <w:r w:rsidR="00BF60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профессиональны</w:t>
      </w:r>
      <w:r w:rsidR="00BF60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программ подготовки квалифицированных </w:t>
      </w:r>
      <w:r w:rsidR="00BF60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кадров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среднего звена</w:t>
      </w:r>
      <w:r w:rsidR="004A7A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рамках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федерального проекта «Профессионалитет»</w:t>
      </w:r>
      <w:r w:rsidR="00BF60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1CAF772" w14:textId="77777777" w:rsidR="004A7A75" w:rsidRPr="00C0214B" w:rsidRDefault="00BF602E" w:rsidP="004A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Образовательным организациям необходимо иметь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государственную аккредитацию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располагаться на территории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Республик</w:t>
      </w:r>
      <w:r w:rsidR="006D2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4A7A75"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Дагестан.</w:t>
      </w:r>
    </w:p>
    <w:p w14:paraId="02838EAF" w14:textId="77777777" w:rsidR="004A7A75" w:rsidRPr="00C0214B" w:rsidRDefault="004A7A75" w:rsidP="004A7A75">
      <w:pPr>
        <w:spacing w:after="0" w:line="322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4B">
        <w:rPr>
          <w:rFonts w:ascii="Times New Roman" w:eastAsia="Calibri" w:hAnsi="Times New Roman" w:cs="Times New Roman"/>
          <w:sz w:val="28"/>
          <w:szCs w:val="28"/>
        </w:rPr>
        <w:t>Размер инвестиционного налогового вычета</w:t>
      </w:r>
      <w:r w:rsidR="00FA31FF">
        <w:rPr>
          <w:rFonts w:ascii="Times New Roman" w:eastAsia="Calibri" w:hAnsi="Times New Roman" w:cs="Times New Roman"/>
          <w:sz w:val="28"/>
          <w:szCs w:val="28"/>
        </w:rPr>
        <w:t>,</w:t>
      </w:r>
      <w:r w:rsidRPr="00C0214B">
        <w:rPr>
          <w:rFonts w:ascii="Times New Roman" w:eastAsia="Calibri" w:hAnsi="Times New Roman" w:cs="Times New Roman"/>
          <w:sz w:val="28"/>
          <w:szCs w:val="28"/>
        </w:rPr>
        <w:t xml:space="preserve"> в целях компенсации расходов           в виде стоимости</w:t>
      </w:r>
      <w:r w:rsidR="00FA31FF">
        <w:rPr>
          <w:rFonts w:ascii="Times New Roman" w:eastAsia="Calibri" w:hAnsi="Times New Roman" w:cs="Times New Roman"/>
          <w:sz w:val="28"/>
          <w:szCs w:val="28"/>
        </w:rPr>
        <w:t>,</w:t>
      </w:r>
      <w:r w:rsidRPr="00C0214B">
        <w:rPr>
          <w:rFonts w:ascii="Times New Roman" w:eastAsia="Calibri" w:hAnsi="Times New Roman" w:cs="Times New Roman"/>
          <w:sz w:val="28"/>
          <w:szCs w:val="28"/>
        </w:rPr>
        <w:t xml:space="preserve"> имущества</w:t>
      </w:r>
      <w:r w:rsidR="00307C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214B">
        <w:rPr>
          <w:rFonts w:ascii="Times New Roman" w:eastAsia="Calibri" w:hAnsi="Times New Roman" w:cs="Times New Roman"/>
          <w:sz w:val="28"/>
          <w:szCs w:val="28"/>
        </w:rPr>
        <w:t>составляет:</w:t>
      </w:r>
    </w:p>
    <w:p w14:paraId="0C0580E1" w14:textId="77777777" w:rsidR="004A7A75" w:rsidRPr="00C0214B" w:rsidRDefault="004A7A75" w:rsidP="004A7A75">
      <w:pPr>
        <w:spacing w:after="0" w:line="322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4B">
        <w:rPr>
          <w:rFonts w:ascii="Times New Roman" w:eastAsia="Calibri" w:hAnsi="Times New Roman" w:cs="Times New Roman"/>
          <w:sz w:val="28"/>
          <w:szCs w:val="28"/>
        </w:rPr>
        <w:t xml:space="preserve">1) 70 процентов при условии, что стоимость переданного имущества составляет от 15 млн рублей; </w:t>
      </w:r>
    </w:p>
    <w:p w14:paraId="4A2DFF26" w14:textId="77777777" w:rsidR="004A7A75" w:rsidRPr="00C0214B" w:rsidRDefault="004A7A75" w:rsidP="004A7A75">
      <w:pPr>
        <w:spacing w:after="0" w:line="322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4B">
        <w:rPr>
          <w:rFonts w:ascii="Times New Roman" w:eastAsia="Calibri" w:hAnsi="Times New Roman" w:cs="Times New Roman"/>
          <w:sz w:val="28"/>
          <w:szCs w:val="28"/>
        </w:rPr>
        <w:t xml:space="preserve">2) 60 процентов при условии, что стоимость переданного имущества составляет от 7 до 15 млн рублей; </w:t>
      </w:r>
    </w:p>
    <w:p w14:paraId="61A2233E" w14:textId="77777777" w:rsidR="004A7A75" w:rsidRDefault="004A7A75" w:rsidP="004A7A75">
      <w:pPr>
        <w:spacing w:after="0" w:line="322" w:lineRule="exac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0214B">
        <w:rPr>
          <w:rFonts w:ascii="Times New Roman" w:eastAsia="Calibri" w:hAnsi="Times New Roman" w:cs="Times New Roman"/>
          <w:sz w:val="28"/>
          <w:szCs w:val="28"/>
        </w:rPr>
        <w:t>3) 50 процентов при условии, что стоимость переданного имущества составляет не более 7 млн рублей.</w:t>
      </w:r>
      <w:r w:rsidRPr="00C021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42EF943" w14:textId="77777777" w:rsidR="004A7A75" w:rsidRDefault="004A7A75" w:rsidP="00654F70">
      <w:pPr>
        <w:spacing w:after="0" w:line="322" w:lineRule="exac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Предельная сумма расходов в виде стоимости безвозмездно переданного имущества (включая денежные средства)</w:t>
      </w:r>
      <w:r w:rsidR="00D924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целях применения инвестиционного налогового вычета</w:t>
      </w:r>
      <w:r w:rsidR="00D924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составляет не более 25 млн рублей за налоговый период.</w:t>
      </w:r>
    </w:p>
    <w:p w14:paraId="391D3CDB" w14:textId="77777777" w:rsidR="00307C2B" w:rsidRDefault="00307C2B" w:rsidP="00654F70">
      <w:pPr>
        <w:spacing w:after="0" w:line="322" w:lineRule="exact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07C2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Уважаемый Заур </w:t>
      </w:r>
      <w:proofErr w:type="spellStart"/>
      <w:r w:rsidRPr="00307C2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Асевович</w:t>
      </w:r>
      <w:proofErr w:type="spellEnd"/>
      <w:r w:rsidRPr="00307C2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!</w:t>
      </w:r>
    </w:p>
    <w:p w14:paraId="31B47C45" w14:textId="1F3F532A" w:rsidR="00307C2B" w:rsidRDefault="00307C2B" w:rsidP="00654F70">
      <w:pPr>
        <w:spacing w:after="0" w:line="322" w:lineRule="exac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07C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Вчера </w:t>
      </w:r>
      <w:r w:rsidR="00B361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заседании Президиума </w:t>
      </w:r>
      <w:r w:rsidRPr="00307C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Вами </w:t>
      </w:r>
      <w:r w:rsidR="00B361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были поставлены некоторые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вопросы</w:t>
      </w:r>
      <w:r w:rsidR="003D60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нформирую: </w:t>
      </w:r>
    </w:p>
    <w:p w14:paraId="74102D51" w14:textId="00046401" w:rsidR="00307C2B" w:rsidRDefault="003D607F" w:rsidP="003D607F">
      <w:pPr>
        <w:pStyle w:val="a7"/>
        <w:spacing w:after="0" w:line="322" w:lineRule="exact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B361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</w:t>
      </w:r>
      <w:r w:rsidR="00307C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Налоговым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</w:t>
      </w:r>
      <w:r w:rsidR="00307C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одексом</w:t>
      </w:r>
      <w:r w:rsidR="00B361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для субъектов </w:t>
      </w:r>
      <w:r w:rsidR="00B361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Российской Федерации</w:t>
      </w:r>
      <w:r w:rsidR="00B361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установлены пределы по суммам расходов, дающим право на тот или иной размер вычета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Тем не менее, предел, предложенный проект</w:t>
      </w:r>
      <w:r w:rsidR="00FA31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закона, по результатам анализа региональной практики</w:t>
      </w:r>
      <w:r w:rsidR="00FA31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наш взгляд</w:t>
      </w:r>
      <w:r w:rsidR="00FA31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является наиболее оптимальным вариантом.</w:t>
      </w:r>
    </w:p>
    <w:p w14:paraId="536D9DEC" w14:textId="6AC8A484" w:rsidR="00654F70" w:rsidRDefault="00B361FF" w:rsidP="00654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654F70" w:rsidRPr="003734A1">
        <w:rPr>
          <w:rFonts w:ascii="Times New Roman" w:eastAsia="Calibri" w:hAnsi="Times New Roman" w:cs="Times New Roman"/>
          <w:bCs/>
          <w:sz w:val="28"/>
          <w:szCs w:val="28"/>
        </w:rPr>
        <w:t xml:space="preserve">По результатам мониторинга регионального законодательства установлено, </w:t>
      </w:r>
      <w:r w:rsidR="00654F70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654F70" w:rsidRPr="003734A1">
        <w:rPr>
          <w:rFonts w:ascii="Times New Roman" w:eastAsia="Calibri" w:hAnsi="Times New Roman" w:cs="Times New Roman"/>
          <w:bCs/>
          <w:sz w:val="28"/>
          <w:szCs w:val="28"/>
        </w:rPr>
        <w:t xml:space="preserve">что </w:t>
      </w:r>
      <w:r w:rsidR="00BF602E">
        <w:rPr>
          <w:rFonts w:ascii="Times New Roman" w:eastAsia="Calibri" w:hAnsi="Times New Roman" w:cs="Times New Roman"/>
          <w:bCs/>
          <w:sz w:val="28"/>
          <w:szCs w:val="28"/>
        </w:rPr>
        <w:t>в 29</w:t>
      </w:r>
      <w:r w:rsidR="00654F70" w:rsidRPr="003734A1">
        <w:rPr>
          <w:rFonts w:ascii="Times New Roman" w:eastAsia="Calibri" w:hAnsi="Times New Roman" w:cs="Times New Roman"/>
          <w:bCs/>
          <w:sz w:val="28"/>
          <w:szCs w:val="28"/>
        </w:rPr>
        <w:t xml:space="preserve"> субъектах Российской Федерации </w:t>
      </w:r>
      <w:r w:rsidR="00307C2B">
        <w:rPr>
          <w:rFonts w:ascii="Times New Roman" w:eastAsia="Calibri" w:hAnsi="Times New Roman" w:cs="Times New Roman"/>
          <w:bCs/>
          <w:sz w:val="28"/>
          <w:szCs w:val="28"/>
        </w:rPr>
        <w:t xml:space="preserve">уже </w:t>
      </w:r>
      <w:r w:rsidR="00654F70" w:rsidRPr="003734A1">
        <w:rPr>
          <w:rFonts w:ascii="Times New Roman" w:eastAsia="Calibri" w:hAnsi="Times New Roman" w:cs="Times New Roman"/>
          <w:bCs/>
          <w:sz w:val="28"/>
          <w:szCs w:val="28"/>
        </w:rPr>
        <w:t>приняты аналогичные нормативные акты: в Тюменской области, в Тверской области, в Омской области</w:t>
      </w:r>
      <w:r w:rsidR="00FA31F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54F70" w:rsidRPr="003734A1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307C2B">
        <w:rPr>
          <w:rFonts w:ascii="Times New Roman" w:eastAsia="Calibri" w:hAnsi="Times New Roman" w:cs="Times New Roman"/>
          <w:bCs/>
          <w:sz w:val="28"/>
          <w:szCs w:val="28"/>
        </w:rPr>
        <w:t>процесс продолжается.</w:t>
      </w:r>
    </w:p>
    <w:p w14:paraId="76BBE227" w14:textId="59FBD7A0" w:rsidR="00B361FF" w:rsidRPr="009C2F25" w:rsidRDefault="00B361FF" w:rsidP="00B361FF">
      <w:pPr>
        <w:pStyle w:val="a7"/>
        <w:spacing w:after="0" w:line="322" w:lineRule="exact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Что касается передачи имущества </w:t>
      </w:r>
      <w:r w:rsidRPr="003D607F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(в том числе денежных средств)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образовательным организациям, такие примеры в республике имеются. Данная практика применяется и индивидуальными предпринимателями,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 и сельхозпроизводителями.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принятием данного закона социально ответственный бизнес сможет оптимизировать свои налоговые расходы</w:t>
      </w:r>
    </w:p>
    <w:p w14:paraId="2F5041B3" w14:textId="77777777" w:rsidR="0010681D" w:rsidRDefault="00654F70" w:rsidP="00765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68091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Представленный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проект закона</w:t>
      </w:r>
      <w:r w:rsidRPr="0068091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согласован в установленном порядке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br/>
      </w:r>
      <w:r w:rsidRPr="0068091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 заинтересованными министерствами и ведомствами Республики Дагестан, прошел правовую и антикоррупционную экспертиз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ы</w:t>
      </w:r>
      <w:r w:rsidR="007655D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="0010681D" w:rsidRPr="0010681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обсуждался на заседании Комитета Народного Собрания Республики Дагестан по экономической политике, инвестициям </w:t>
      </w:r>
      <w:r w:rsidR="0010681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br/>
      </w:r>
      <w:r w:rsidR="0010681D" w:rsidRPr="0010681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и предпринимательству</w:t>
      </w:r>
      <w:r w:rsidR="00D924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</w:t>
      </w:r>
      <w:r w:rsidR="0010681D" w:rsidRPr="0010681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поддержан депутатами</w:t>
      </w:r>
      <w:r w:rsidR="00D9245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</w:t>
      </w:r>
      <w:r w:rsidR="0010681D" w:rsidRPr="0010681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одобрен Президиумом Народного Собрания Республики Дагестан.</w:t>
      </w:r>
    </w:p>
    <w:p w14:paraId="34F53723" w14:textId="77777777" w:rsidR="00654F70" w:rsidRPr="004A7A75" w:rsidRDefault="00654F70" w:rsidP="00654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7A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Прошу поддержать представленный </w:t>
      </w:r>
      <w:r w:rsidR="00D924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 закона</w:t>
      </w:r>
      <w:r w:rsidRPr="004A7A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принять его в </w:t>
      </w:r>
      <w:r w:rsidR="00A02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первом чтении</w:t>
      </w:r>
      <w:r w:rsidRPr="004A7A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3E50FBA7" w14:textId="77777777" w:rsidR="00654F70" w:rsidRPr="004A7A75" w:rsidRDefault="00654F70" w:rsidP="00654F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D30983" w14:textId="77777777" w:rsidR="00654F70" w:rsidRPr="004A7A75" w:rsidRDefault="00654F70" w:rsidP="00654F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A7A7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Спасибо за внимание! </w:t>
      </w:r>
      <w:r w:rsidRPr="004A7A7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20CA3F" w14:textId="77777777" w:rsidR="00654F70" w:rsidRPr="00C0214B" w:rsidRDefault="00654F70" w:rsidP="00654F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EFB9CB2" w14:textId="77777777" w:rsidR="00654F70" w:rsidRPr="003734A1" w:rsidRDefault="00654F70" w:rsidP="00654F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B708EA" w14:textId="77777777" w:rsidR="00654F70" w:rsidRPr="00C0214B" w:rsidRDefault="00654F70" w:rsidP="004A7A75">
      <w:pPr>
        <w:spacing w:after="0" w:line="322" w:lineRule="exac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9DDF850" w14:textId="77777777" w:rsidR="004A7A75" w:rsidRDefault="004A7A75" w:rsidP="004A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8BDFD8" w14:textId="77777777" w:rsidR="004A7A75" w:rsidRDefault="004A7A75" w:rsidP="004A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</w:p>
    <w:p w14:paraId="78171F95" w14:textId="77777777" w:rsidR="004A7A75" w:rsidRDefault="004A7A75" w:rsidP="004A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</w:p>
    <w:p w14:paraId="2A238739" w14:textId="77777777" w:rsidR="004A7A75" w:rsidRDefault="004A7A75" w:rsidP="004A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</w:p>
    <w:p w14:paraId="3007655B" w14:textId="77777777" w:rsidR="004A7A75" w:rsidRDefault="004A7A75" w:rsidP="004A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</w:p>
    <w:p w14:paraId="26C8311F" w14:textId="77777777" w:rsidR="004A7A75" w:rsidRDefault="004A7A75" w:rsidP="004A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</w:p>
    <w:p w14:paraId="69113CAA" w14:textId="77777777" w:rsidR="004A7A75" w:rsidRDefault="004A7A75" w:rsidP="004A7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</w:p>
    <w:p w14:paraId="55512DC2" w14:textId="77777777" w:rsidR="000E45A6" w:rsidRDefault="000E45A6"/>
    <w:sectPr w:rsidR="000E45A6" w:rsidSect="00654F70">
      <w:headerReference w:type="default" r:id="rId7"/>
      <w:pgSz w:w="11907" w:h="16839" w:code="9"/>
      <w:pgMar w:top="1134" w:right="567" w:bottom="426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6371" w14:textId="77777777" w:rsidR="0025205E" w:rsidRDefault="0025205E">
      <w:pPr>
        <w:spacing w:after="0" w:line="240" w:lineRule="auto"/>
      </w:pPr>
      <w:r>
        <w:separator/>
      </w:r>
    </w:p>
  </w:endnote>
  <w:endnote w:type="continuationSeparator" w:id="0">
    <w:p w14:paraId="6EA831C0" w14:textId="77777777" w:rsidR="0025205E" w:rsidRDefault="0025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AA59" w14:textId="77777777" w:rsidR="0025205E" w:rsidRDefault="0025205E">
      <w:pPr>
        <w:spacing w:after="0" w:line="240" w:lineRule="auto"/>
      </w:pPr>
      <w:r>
        <w:separator/>
      </w:r>
    </w:p>
  </w:footnote>
  <w:footnote w:type="continuationSeparator" w:id="0">
    <w:p w14:paraId="1F3A4B62" w14:textId="77777777" w:rsidR="0025205E" w:rsidRDefault="0025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466851"/>
      <w:docPartObj>
        <w:docPartGallery w:val="Page Numbers (Top of Page)"/>
        <w:docPartUnique/>
      </w:docPartObj>
    </w:sdtPr>
    <w:sdtEndPr/>
    <w:sdtContent>
      <w:p w14:paraId="45DDDA2B" w14:textId="77777777" w:rsidR="007655D0" w:rsidRDefault="007655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B078507" w14:textId="77777777" w:rsidR="007655D0" w:rsidRDefault="007655D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B2B49"/>
    <w:multiLevelType w:val="hybridMultilevel"/>
    <w:tmpl w:val="C0D6752A"/>
    <w:lvl w:ilvl="0" w:tplc="75BA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565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75"/>
    <w:rsid w:val="000E45A6"/>
    <w:rsid w:val="0010681D"/>
    <w:rsid w:val="0025205E"/>
    <w:rsid w:val="002B7243"/>
    <w:rsid w:val="0030217F"/>
    <w:rsid w:val="00307C2B"/>
    <w:rsid w:val="003B7C54"/>
    <w:rsid w:val="003D607F"/>
    <w:rsid w:val="004A7A75"/>
    <w:rsid w:val="00654F70"/>
    <w:rsid w:val="006D2A73"/>
    <w:rsid w:val="006D495D"/>
    <w:rsid w:val="00701432"/>
    <w:rsid w:val="00743BCD"/>
    <w:rsid w:val="007655D0"/>
    <w:rsid w:val="007830F1"/>
    <w:rsid w:val="007A14E3"/>
    <w:rsid w:val="008E30CE"/>
    <w:rsid w:val="009C2F25"/>
    <w:rsid w:val="00A02804"/>
    <w:rsid w:val="00B361FF"/>
    <w:rsid w:val="00BF602E"/>
    <w:rsid w:val="00D92454"/>
    <w:rsid w:val="00DE0151"/>
    <w:rsid w:val="00FA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9832"/>
  <w15:chartTrackingRefBased/>
  <w15:docId w15:val="{E18C4D16-7EBB-4C6D-AC82-31213337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70"/>
  </w:style>
  <w:style w:type="paragraph" w:styleId="1">
    <w:name w:val="heading 1"/>
    <w:basedOn w:val="a"/>
    <w:next w:val="a"/>
    <w:link w:val="10"/>
    <w:uiPriority w:val="9"/>
    <w:qFormat/>
    <w:rsid w:val="004A7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A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7A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A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7A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7A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7A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7A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7A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7A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7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7A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7A7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A7A75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4A7A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Амирханова Диана Уллубиевна</dc:creator>
  <cp:keywords/>
  <dc:description/>
  <cp:lastModifiedBy>Мамацаева Мадина Магомедовна</cp:lastModifiedBy>
  <cp:revision>5</cp:revision>
  <cp:lastPrinted>2025-02-26T17:26:00Z</cp:lastPrinted>
  <dcterms:created xsi:type="dcterms:W3CDTF">2025-02-24T07:44:00Z</dcterms:created>
  <dcterms:modified xsi:type="dcterms:W3CDTF">2025-02-26T17:27:00Z</dcterms:modified>
</cp:coreProperties>
</file>