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D14" w:rsidRDefault="00100D14" w:rsidP="00100D14">
      <w:pPr>
        <w:pStyle w:val="a3"/>
        <w:spacing w:before="0" w:beforeAutospacing="0" w:after="0" w:afterAutospacing="0"/>
        <w:jc w:val="center"/>
      </w:pPr>
      <w:r>
        <w:rPr>
          <w:rStyle w:val="a4"/>
        </w:rPr>
        <w:t>ОБЗОР</w:t>
      </w:r>
    </w:p>
    <w:p w:rsidR="00100D14" w:rsidRDefault="00100D14" w:rsidP="00100D14">
      <w:pPr>
        <w:pStyle w:val="a3"/>
        <w:spacing w:before="0" w:beforeAutospacing="0" w:after="0" w:afterAutospacing="0"/>
        <w:jc w:val="center"/>
      </w:pPr>
      <w:r>
        <w:rPr>
          <w:rStyle w:val="a4"/>
        </w:rPr>
        <w:t xml:space="preserve">лучших практик проведения оценки регулирующего воздействия </w:t>
      </w:r>
      <w:r>
        <w:rPr>
          <w:b/>
          <w:bCs/>
        </w:rPr>
        <w:br/>
      </w:r>
      <w:r>
        <w:rPr>
          <w:rStyle w:val="a4"/>
        </w:rPr>
        <w:t>в субъектах Российской Федерации, размещенных на портале orv.gov.ru</w:t>
      </w:r>
      <w:r>
        <w:rPr>
          <w:b/>
          <w:bCs/>
        </w:rPr>
        <w:br/>
      </w:r>
      <w:r>
        <w:rPr>
          <w:rStyle w:val="a4"/>
        </w:rPr>
        <w:t>в феврале 2016 года</w:t>
      </w:r>
    </w:p>
    <w:p w:rsidR="00100D14" w:rsidRDefault="00100D14" w:rsidP="00100D14">
      <w:pPr>
        <w:pStyle w:val="a3"/>
        <w:spacing w:before="0" w:beforeAutospacing="0" w:after="0" w:afterAutospacing="0"/>
      </w:pPr>
      <w:proofErr w:type="gramStart"/>
      <w:r>
        <w:t>Из 15 практик, размещенных на портале, особого внимания, по мнению Минэкономразвития России, заслуживают следующие:</w:t>
      </w:r>
      <w:proofErr w:type="gramEnd"/>
    </w:p>
    <w:p w:rsidR="00100D14" w:rsidRDefault="00100D14" w:rsidP="00100D14">
      <w:pPr>
        <w:pStyle w:val="a3"/>
        <w:spacing w:before="0" w:beforeAutospacing="0" w:after="0" w:afterAutospacing="0"/>
        <w:jc w:val="center"/>
      </w:pPr>
      <w:hyperlink r:id="rId5" w:history="1">
        <w:r>
          <w:rPr>
            <w:rStyle w:val="a4"/>
            <w:color w:val="0000FF"/>
            <w:u w:val="single"/>
          </w:rPr>
          <w:t xml:space="preserve">О порядке взимания платы за сброс сточных вод и загрязняющих веществ </w:t>
        </w:r>
      </w:hyperlink>
    </w:p>
    <w:p w:rsidR="00100D14" w:rsidRDefault="00100D14" w:rsidP="00100D14">
      <w:pPr>
        <w:pStyle w:val="a3"/>
        <w:spacing w:before="0" w:beforeAutospacing="0" w:after="0" w:afterAutospacing="0"/>
        <w:jc w:val="both"/>
      </w:pPr>
      <w:hyperlink r:id="rId6" w:history="1">
        <w:r>
          <w:rPr>
            <w:rStyle w:val="a5"/>
          </w:rPr>
          <w:t xml:space="preserve">Экспертиза проведена в отношении </w:t>
        </w:r>
      </w:hyperlink>
      <w:hyperlink r:id="rId7" w:history="1">
        <w:r>
          <w:rPr>
            <w:rStyle w:val="a5"/>
          </w:rPr>
          <w:t>Указа губернатора Пермской области от 29 августа 2003 г. № 167</w:t>
        </w:r>
      </w:hyperlink>
      <w:r>
        <w:t xml:space="preserve"> «О порядке взимания платы за сброс сточных вод и загрязняющих веществ в системы канализации населенных пунктов Пермской области».</w:t>
      </w:r>
    </w:p>
    <w:p w:rsidR="00100D14" w:rsidRDefault="00100D14" w:rsidP="00100D14">
      <w:pPr>
        <w:pStyle w:val="a3"/>
        <w:spacing w:before="0" w:beforeAutospacing="0" w:after="0" w:afterAutospacing="0"/>
        <w:jc w:val="both"/>
      </w:pPr>
      <w:r>
        <w:t>Указом № 167 установлен порядок расчета платы за негативное воздействие на окружающую среду в Пермском крае.</w:t>
      </w:r>
    </w:p>
    <w:p w:rsidR="00100D14" w:rsidRDefault="00100D14" w:rsidP="00100D14">
      <w:pPr>
        <w:pStyle w:val="a3"/>
        <w:spacing w:before="0" w:beforeAutospacing="0" w:after="0" w:afterAutospacing="0"/>
        <w:jc w:val="both"/>
      </w:pPr>
      <w:r>
        <w:t xml:space="preserve">Порядок проведения экспертизы в Пермском крае определен </w:t>
      </w:r>
      <w:hyperlink r:id="rId8" w:history="1">
        <w:r>
          <w:rPr>
            <w:rStyle w:val="a5"/>
          </w:rPr>
          <w:t>Законом Пермского края</w:t>
        </w:r>
      </w:hyperlink>
      <w:r>
        <w:t xml:space="preserve"> и </w:t>
      </w:r>
      <w:hyperlink r:id="rId9" w:history="1">
        <w:r>
          <w:rPr>
            <w:rStyle w:val="a5"/>
          </w:rPr>
          <w:t>Указом губернатора Пермского края</w:t>
        </w:r>
      </w:hyperlink>
      <w:r>
        <w:t>.</w:t>
      </w:r>
    </w:p>
    <w:p w:rsidR="00100D14" w:rsidRDefault="00100D14" w:rsidP="00100D14">
      <w:pPr>
        <w:pStyle w:val="a3"/>
        <w:spacing w:before="0" w:beforeAutospacing="0" w:after="0" w:afterAutospacing="0"/>
        <w:jc w:val="both"/>
      </w:pPr>
      <w:r>
        <w:t xml:space="preserve">Экспертиза проводилась в соответствии с утвержденным планом на 2015 год и на основании предложений о проведении экспертизы, поступивших </w:t>
      </w:r>
      <w:proofErr w:type="gramStart"/>
      <w:r>
        <w:t>в</w:t>
      </w:r>
      <w:proofErr w:type="gramEnd"/>
      <w:r>
        <w:t xml:space="preserve"> </w:t>
      </w:r>
      <w:proofErr w:type="gramStart"/>
      <w:r>
        <w:t>уполномоченный</w:t>
      </w:r>
      <w:proofErr w:type="gramEnd"/>
      <w:r>
        <w:t xml:space="preserve"> </w:t>
      </w:r>
      <w:proofErr w:type="spellStart"/>
      <w:r>
        <w:t>органот</w:t>
      </w:r>
      <w:proofErr w:type="spellEnd"/>
      <w:r>
        <w:t xml:space="preserve"> Уполномоченного по защите прав предпринимателей в Пермском крае В.А. Белова.</w:t>
      </w:r>
    </w:p>
    <w:p w:rsidR="00100D14" w:rsidRDefault="00100D14" w:rsidP="00100D14">
      <w:pPr>
        <w:pStyle w:val="a3"/>
        <w:spacing w:before="0" w:beforeAutospacing="0" w:after="0" w:afterAutospacing="0"/>
        <w:jc w:val="both"/>
      </w:pPr>
      <w:r>
        <w:rPr>
          <w:rStyle w:val="a6"/>
        </w:rPr>
        <w:t xml:space="preserve">В Пермском крае </w:t>
      </w:r>
      <w:hyperlink r:id="rId10" w:history="1">
        <w:r>
          <w:rPr>
            <w:rStyle w:val="a6"/>
            <w:color w:val="0000FF"/>
            <w:u w:val="single"/>
          </w:rPr>
          <w:t>утверждены типовые формы документов</w:t>
        </w:r>
      </w:hyperlink>
      <w:r>
        <w:rPr>
          <w:rStyle w:val="a6"/>
        </w:rPr>
        <w:t>, используемые при проведении экспертизы, что помогает избежать пробелов и разночтений при ее проведении.</w:t>
      </w:r>
    </w:p>
    <w:p w:rsidR="00100D14" w:rsidRDefault="00100D14" w:rsidP="00100D14">
      <w:pPr>
        <w:pStyle w:val="a3"/>
        <w:spacing w:before="0" w:beforeAutospacing="0" w:after="0" w:afterAutospacing="0"/>
        <w:jc w:val="both"/>
      </w:pPr>
      <w:r>
        <w:t xml:space="preserve">В ходе проведения экспертизы Указа № 167 с 20 мая по 20 июня 2015 года были проведены </w:t>
      </w:r>
      <w:r>
        <w:rPr>
          <w:rStyle w:val="a4"/>
        </w:rPr>
        <w:t>публичные консультации</w:t>
      </w:r>
      <w:r>
        <w:t>.</w:t>
      </w:r>
    </w:p>
    <w:p w:rsidR="00100D14" w:rsidRDefault="00100D14" w:rsidP="00100D14">
      <w:pPr>
        <w:pStyle w:val="a3"/>
        <w:spacing w:before="0" w:beforeAutospacing="0" w:after="0" w:afterAutospacing="0"/>
        <w:jc w:val="both"/>
      </w:pPr>
      <w:r>
        <w:t xml:space="preserve">При проведении экспертизы использовались </w:t>
      </w:r>
      <w:r>
        <w:rPr>
          <w:rStyle w:val="a4"/>
        </w:rPr>
        <w:t>количественные методы</w:t>
      </w:r>
      <w:r>
        <w:t>: приведено несколько примеров по расчету платежей за несоблюдение требований к качеству канализационных стоков.</w:t>
      </w:r>
    </w:p>
    <w:p w:rsidR="00100D14" w:rsidRDefault="00100D14" w:rsidP="00100D14">
      <w:pPr>
        <w:pStyle w:val="a3"/>
        <w:spacing w:before="0" w:beforeAutospacing="0" w:after="0" w:afterAutospacing="0"/>
        <w:jc w:val="both"/>
      </w:pPr>
      <w:r>
        <w:rPr>
          <w:rStyle w:val="a6"/>
        </w:rPr>
        <w:t>Следует отметить, что значительная часть количественной и качественной оценки рассматриваемого правового регулирования представлена заинтересованными лицами на этапе публичных консультаций.</w:t>
      </w:r>
    </w:p>
    <w:p w:rsidR="00100D14" w:rsidRDefault="00100D14" w:rsidP="00100D14">
      <w:pPr>
        <w:pStyle w:val="a3"/>
        <w:spacing w:before="0" w:beforeAutospacing="0" w:after="0" w:afterAutospacing="0"/>
        <w:jc w:val="both"/>
      </w:pPr>
      <w:r>
        <w:rPr>
          <w:rStyle w:val="a6"/>
        </w:rPr>
        <w:t xml:space="preserve">Детальная и обоснованная позиция заинтересованных лиц в рамках поставленного вопроса, а также отсутствие «формального» подхода со стороны </w:t>
      </w:r>
      <w:proofErr w:type="gramStart"/>
      <w:r>
        <w:rPr>
          <w:rStyle w:val="a6"/>
        </w:rPr>
        <w:t>бизнес-сообщества</w:t>
      </w:r>
      <w:proofErr w:type="gramEnd"/>
      <w:r>
        <w:rPr>
          <w:rStyle w:val="a6"/>
        </w:rPr>
        <w:t xml:space="preserve"> и органов государственной власти при проведении публичных консультаций способствуют принятию объективных решений в рамках экспертизы нормативных правовых актов.</w:t>
      </w:r>
    </w:p>
    <w:p w:rsidR="00100D14" w:rsidRDefault="00100D14" w:rsidP="00100D14">
      <w:pPr>
        <w:pStyle w:val="a3"/>
        <w:spacing w:before="0" w:beforeAutospacing="0" w:after="0" w:afterAutospacing="0"/>
        <w:jc w:val="both"/>
      </w:pPr>
      <w:r>
        <w:t xml:space="preserve">Кроме того, проведен </w:t>
      </w:r>
      <w:r>
        <w:rPr>
          <w:rStyle w:val="a4"/>
        </w:rPr>
        <w:t xml:space="preserve">мониторинг </w:t>
      </w:r>
      <w:r>
        <w:t>регулирования данных вопросов других субъектов Российской Федерации.</w:t>
      </w:r>
    </w:p>
    <w:p w:rsidR="00100D14" w:rsidRDefault="00100D14" w:rsidP="00100D14">
      <w:pPr>
        <w:pStyle w:val="a3"/>
        <w:spacing w:before="0" w:beforeAutospacing="0" w:after="0" w:afterAutospacing="0"/>
        <w:jc w:val="both"/>
      </w:pPr>
      <w:r>
        <w:rPr>
          <w:rStyle w:val="a6"/>
        </w:rPr>
        <w:t>В Пермском крае, кроме экспертизы нормативных правовых актов, затрагивающих вопросы осуществления предпринимательской и инвестиционной деятельности, в отношении нормативных правовых актов, по проектам которых осуществлялась процедура ОРВ, проводится процедура оценки фактического воздействия (ОФВ) нормативных правовых актов Пермского края, порядок проведения которой установлен Указом губернатора Пермского края.</w:t>
      </w:r>
    </w:p>
    <w:p w:rsidR="00100D14" w:rsidRDefault="00100D14" w:rsidP="00100D14">
      <w:pPr>
        <w:pStyle w:val="a3"/>
        <w:spacing w:before="0" w:beforeAutospacing="0" w:after="0" w:afterAutospacing="0"/>
        <w:jc w:val="both"/>
      </w:pPr>
      <w:r>
        <w:rPr>
          <w:rStyle w:val="a6"/>
        </w:rPr>
        <w:t xml:space="preserve">Обращаем внимание субъектов Российской Федерации, не осуществляющих  мероприятий по проведению ОФВ, что положения 184-ФЗ не запрещают проведения ОФВ. </w:t>
      </w:r>
    </w:p>
    <w:p w:rsidR="00100D14" w:rsidRDefault="00100D14" w:rsidP="00100D14">
      <w:pPr>
        <w:pStyle w:val="a3"/>
        <w:spacing w:before="0" w:beforeAutospacing="0" w:after="0" w:afterAutospacing="0"/>
        <w:jc w:val="both"/>
      </w:pPr>
      <w:r>
        <w:rPr>
          <w:rStyle w:val="a6"/>
        </w:rPr>
        <w:t>Так, в соответствии с 184-ФЗ целью проведения экспертизы нормативных правовых актов является выявление положений, необоснованно затрудняющих осуществление предпринимательской и инвестиционной деятельности, при этом выявление указанных положений может осуществляться, в том числе, в актах, по проектам которых проводилась процедура ОРВ, что является признаком ОФВ.</w:t>
      </w:r>
    </w:p>
    <w:p w:rsidR="00100D14" w:rsidRDefault="00100D14" w:rsidP="00100D14">
      <w:pPr>
        <w:pStyle w:val="a3"/>
        <w:spacing w:before="0" w:beforeAutospacing="0" w:after="0" w:afterAutospacing="0"/>
        <w:jc w:val="both"/>
      </w:pPr>
      <w:r>
        <w:t xml:space="preserve">По результатам экспертизы </w:t>
      </w:r>
      <w:hyperlink r:id="rId11" w:history="1">
        <w:r>
          <w:rPr>
            <w:rStyle w:val="a5"/>
          </w:rPr>
          <w:t>уполномоченным органом</w:t>
        </w:r>
      </w:hyperlink>
      <w:r>
        <w:t xml:space="preserve"> сделан вывод, что Указ № 167 противоречит федеральному законодательству и создаёт условия для избыточной финансовой нагрузки на субъекты предпринимательской деятельности.</w:t>
      </w:r>
    </w:p>
    <w:p w:rsidR="00100D14" w:rsidRDefault="00100D14" w:rsidP="00100D14">
      <w:pPr>
        <w:pStyle w:val="a3"/>
        <w:spacing w:before="0" w:beforeAutospacing="0" w:after="0" w:afterAutospacing="0"/>
        <w:jc w:val="both"/>
      </w:pPr>
      <w:proofErr w:type="gramStart"/>
      <w:r>
        <w:rPr>
          <w:rStyle w:val="a6"/>
        </w:rPr>
        <w:lastRenderedPageBreak/>
        <w:t>В настоящее время Указ № 167 утратил силу в связи с изданием Постановления Правительства Пермского края от 12 января 2016 № 3-п «Об утверждении Порядка взимания платы за сброс загрязняющих веществ в системы канализации населенных пунктов Пермского края с предприятий и организаций, отводящих сточные воды и загрязняющие вещества в системы канализации населенных пунктов Пермского края».</w:t>
      </w:r>
      <w:proofErr w:type="gramEnd"/>
    </w:p>
    <w:p w:rsidR="00100D14" w:rsidRDefault="00100D14" w:rsidP="00100D14">
      <w:pPr>
        <w:pStyle w:val="a3"/>
        <w:spacing w:before="0" w:beforeAutospacing="0" w:after="0" w:afterAutospacing="0"/>
        <w:jc w:val="center"/>
      </w:pPr>
      <w:hyperlink r:id="rId12" w:history="1">
        <w:r>
          <w:rPr>
            <w:rStyle w:val="a4"/>
            <w:color w:val="0000FF"/>
            <w:u w:val="single"/>
          </w:rPr>
          <w:t xml:space="preserve">Об установлении дополнительных ограничений времени розничной продажи алкогольной продукции </w:t>
        </w:r>
      </w:hyperlink>
    </w:p>
    <w:p w:rsidR="00100D14" w:rsidRDefault="00100D14" w:rsidP="00100D14">
      <w:pPr>
        <w:pStyle w:val="a3"/>
        <w:spacing w:before="0" w:beforeAutospacing="0" w:after="0" w:afterAutospacing="0"/>
        <w:jc w:val="both"/>
      </w:pPr>
      <w:r>
        <w:t>Проектом закона Республики Дагестан «О внесении изменений в Закон  Республики Дагестан «Об установлении дополнительных ограничений времени розничной продажи алкогольной продукции на территории Республики Дагестан» регулируются общественные отношения в сфере продажи алкогольной продукции.</w:t>
      </w:r>
    </w:p>
    <w:p w:rsidR="00100D14" w:rsidRDefault="00100D14" w:rsidP="00100D14">
      <w:pPr>
        <w:pStyle w:val="a3"/>
        <w:spacing w:before="0" w:beforeAutospacing="0" w:after="0" w:afterAutospacing="0"/>
        <w:jc w:val="both"/>
      </w:pPr>
      <w:r>
        <w:t xml:space="preserve">Особенности процедуры ОРВ в Республике Дагестан отражены в одном из </w:t>
      </w:r>
      <w:hyperlink r:id="rId13" w:history="1">
        <w:r>
          <w:rPr>
            <w:rStyle w:val="a5"/>
          </w:rPr>
          <w:t>предыдущих обзоров</w:t>
        </w:r>
      </w:hyperlink>
      <w:r>
        <w:t xml:space="preserve"> региональных практик.</w:t>
      </w:r>
    </w:p>
    <w:p w:rsidR="00100D14" w:rsidRDefault="00100D14" w:rsidP="00100D14">
      <w:pPr>
        <w:pStyle w:val="a3"/>
        <w:spacing w:before="0" w:beforeAutospacing="0" w:after="0" w:afterAutospacing="0"/>
        <w:jc w:val="both"/>
      </w:pPr>
      <w:r>
        <w:t xml:space="preserve">Проект акта разработан </w:t>
      </w:r>
      <w:r>
        <w:rPr>
          <w:rStyle w:val="a4"/>
        </w:rPr>
        <w:t>в целях</w:t>
      </w:r>
      <w:r>
        <w:t xml:space="preserve"> защиты нравственности, здоровья, прав и законных интересов несовершеннолетних и ограничения продажи спиртосодержащих напитков на территории Республики Дагестан</w:t>
      </w:r>
      <w:r>
        <w:rPr>
          <w:rStyle w:val="a4"/>
        </w:rPr>
        <w:t>.</w:t>
      </w:r>
    </w:p>
    <w:p w:rsidR="00100D14" w:rsidRDefault="00100D14" w:rsidP="00100D14">
      <w:pPr>
        <w:pStyle w:val="a3"/>
        <w:spacing w:before="0" w:beforeAutospacing="0" w:after="0" w:afterAutospacing="0"/>
        <w:jc w:val="both"/>
      </w:pPr>
      <w:r>
        <w:t xml:space="preserve">Проект акта отнесен </w:t>
      </w:r>
      <w:hyperlink r:id="rId14" w:history="1">
        <w:r>
          <w:rPr>
            <w:rStyle w:val="a5"/>
          </w:rPr>
          <w:t>органом-разработчиком</w:t>
        </w:r>
      </w:hyperlink>
      <w:r>
        <w:t xml:space="preserve"> к </w:t>
      </w:r>
      <w:r>
        <w:rPr>
          <w:rStyle w:val="a4"/>
        </w:rPr>
        <w:t>низкой степени</w:t>
      </w:r>
      <w:r>
        <w:t xml:space="preserve"> регулирующего воздействия.</w:t>
      </w:r>
    </w:p>
    <w:p w:rsidR="00100D14" w:rsidRDefault="00100D14" w:rsidP="00100D14">
      <w:pPr>
        <w:pStyle w:val="a3"/>
        <w:spacing w:before="0" w:beforeAutospacing="0" w:after="0" w:afterAutospacing="0"/>
        <w:jc w:val="both"/>
      </w:pPr>
      <w:r>
        <w:rPr>
          <w:rStyle w:val="a6"/>
        </w:rPr>
        <w:t xml:space="preserve">Вместе с тем проектом акта предусматривается ранее не предусмотренные нормативными правовыми актами Республики Дагестан обязанности, запреты и ограничения для физических и юридических лиц в сфере предпринимательской деятельности, в </w:t>
      </w:r>
      <w:proofErr w:type="gramStart"/>
      <w:r>
        <w:rPr>
          <w:rStyle w:val="a6"/>
        </w:rPr>
        <w:t>связи</w:t>
      </w:r>
      <w:proofErr w:type="gramEnd"/>
      <w:r>
        <w:rPr>
          <w:rStyle w:val="a6"/>
        </w:rPr>
        <w:t xml:space="preserve"> </w:t>
      </w:r>
      <w:r>
        <w:rPr>
          <w:i/>
          <w:iCs/>
        </w:rPr>
        <w:br/>
      </w:r>
      <w:r>
        <w:rPr>
          <w:rStyle w:val="a6"/>
        </w:rPr>
        <w:t xml:space="preserve">с чем проект акта отнесен уполномоченным </w:t>
      </w:r>
      <w:proofErr w:type="spellStart"/>
      <w:r>
        <w:rPr>
          <w:rStyle w:val="a6"/>
        </w:rPr>
        <w:t>органомк</w:t>
      </w:r>
      <w:proofErr w:type="spellEnd"/>
      <w:r>
        <w:rPr>
          <w:rStyle w:val="a6"/>
        </w:rPr>
        <w:t xml:space="preserve"> </w:t>
      </w:r>
      <w:r>
        <w:rPr>
          <w:rStyle w:val="a4"/>
          <w:i/>
          <w:iCs/>
        </w:rPr>
        <w:t>высокой</w:t>
      </w:r>
      <w:r>
        <w:rPr>
          <w:rStyle w:val="a6"/>
        </w:rPr>
        <w:t xml:space="preserve"> степени регулирующего воздействия.</w:t>
      </w:r>
    </w:p>
    <w:p w:rsidR="00100D14" w:rsidRDefault="00100D14" w:rsidP="00100D14">
      <w:pPr>
        <w:pStyle w:val="a3"/>
        <w:spacing w:before="0" w:beforeAutospacing="0" w:after="0" w:afterAutospacing="0"/>
        <w:jc w:val="both"/>
      </w:pPr>
      <w:r>
        <w:t xml:space="preserve">Органом – </w:t>
      </w:r>
      <w:proofErr w:type="spellStart"/>
      <w:r>
        <w:t>разработчикомпроведены</w:t>
      </w:r>
      <w:proofErr w:type="spellEnd"/>
      <w:r>
        <w:t xml:space="preserve"> </w:t>
      </w:r>
      <w:r>
        <w:rPr>
          <w:rStyle w:val="a4"/>
        </w:rPr>
        <w:t>публичные консультации</w:t>
      </w:r>
      <w:r>
        <w:t xml:space="preserve"> уведомления о подготовке проекта акта в сроки с 17 по 31 декабря 2015 года, а также сводного отчета и проекта акта  в сроки с  5 по 19 января 2016 года, замечания и предложения от заинтересованных лиц не поступили.</w:t>
      </w:r>
    </w:p>
    <w:p w:rsidR="00100D14" w:rsidRDefault="00100D14" w:rsidP="00100D14">
      <w:pPr>
        <w:pStyle w:val="a3"/>
        <w:spacing w:before="0" w:beforeAutospacing="0" w:after="0" w:afterAutospacing="0"/>
        <w:jc w:val="both"/>
      </w:pPr>
      <w:r>
        <w:rPr>
          <w:rStyle w:val="a6"/>
        </w:rPr>
        <w:t>Обращаем внимание на то, что значительная часть времени, отведенная для проведения публичных консультаций по проекту акта, затронула выходные и праздничные дни (более 8 дней), что оказало негативное влияние на качество процедуры.</w:t>
      </w:r>
    </w:p>
    <w:p w:rsidR="00100D14" w:rsidRDefault="00100D14" w:rsidP="00100D14">
      <w:pPr>
        <w:pStyle w:val="a3"/>
        <w:spacing w:before="0" w:beforeAutospacing="0" w:after="0" w:afterAutospacing="0"/>
        <w:jc w:val="both"/>
      </w:pPr>
      <w:r>
        <w:rPr>
          <w:rStyle w:val="a6"/>
        </w:rPr>
        <w:t xml:space="preserve">Ввиду отсутствия замечаний и предложений от заинтересованных лиц, </w:t>
      </w:r>
      <w:hyperlink r:id="rId15" w:history="1">
        <w:r>
          <w:rPr>
            <w:rStyle w:val="a6"/>
            <w:color w:val="0000FF"/>
            <w:u w:val="single"/>
          </w:rPr>
          <w:t xml:space="preserve">уполномоченным </w:t>
        </w:r>
        <w:proofErr w:type="spellStart"/>
        <w:r>
          <w:rPr>
            <w:rStyle w:val="a6"/>
            <w:color w:val="0000FF"/>
            <w:u w:val="single"/>
          </w:rPr>
          <w:t>органом</w:t>
        </w:r>
      </w:hyperlink>
      <w:r>
        <w:rPr>
          <w:rStyle w:val="a6"/>
        </w:rPr>
        <w:t>сделан</w:t>
      </w:r>
      <w:proofErr w:type="spellEnd"/>
      <w:r>
        <w:rPr>
          <w:rStyle w:val="a6"/>
        </w:rPr>
        <w:t xml:space="preserve"> вывод о неэффективности проведенных органом-разработчиком публичных консультаций.</w:t>
      </w:r>
    </w:p>
    <w:p w:rsidR="00100D14" w:rsidRDefault="00100D14" w:rsidP="00100D14">
      <w:pPr>
        <w:pStyle w:val="a3"/>
        <w:spacing w:before="0" w:beforeAutospacing="0" w:after="0" w:afterAutospacing="0"/>
        <w:jc w:val="both"/>
      </w:pPr>
      <w:r>
        <w:rPr>
          <w:rStyle w:val="a6"/>
        </w:rPr>
        <w:t xml:space="preserve">Уполномоченным органом было принято решение о проведении публичных консультаций на этапе подготовки заключения об ОРВ </w:t>
      </w:r>
      <w:r>
        <w:rPr>
          <w:i/>
          <w:iCs/>
        </w:rPr>
        <w:br/>
      </w:r>
      <w:r>
        <w:rPr>
          <w:rStyle w:val="a6"/>
        </w:rPr>
        <w:t xml:space="preserve">с использованием </w:t>
      </w:r>
      <w:r>
        <w:rPr>
          <w:rStyle w:val="a6"/>
          <w:b/>
          <w:bCs/>
        </w:rPr>
        <w:t>дополнительных форм уведомления заинтересованных лиц</w:t>
      </w:r>
      <w:r>
        <w:rPr>
          <w:rStyle w:val="a6"/>
        </w:rPr>
        <w:t>.</w:t>
      </w:r>
    </w:p>
    <w:p w:rsidR="00100D14" w:rsidRDefault="00100D14" w:rsidP="00100D14">
      <w:pPr>
        <w:pStyle w:val="a3"/>
        <w:spacing w:before="0" w:beforeAutospacing="0" w:after="0" w:afterAutospacing="0"/>
        <w:jc w:val="both"/>
      </w:pPr>
      <w:proofErr w:type="gramStart"/>
      <w:r>
        <w:rPr>
          <w:rStyle w:val="a6"/>
        </w:rPr>
        <w:t>Так, уполномоченным органом была использована площадка Комитета Народного Собрания Республики Дагестан по межнациональным отношениям, делам общественных и религиозных объединений, на которую были приглашены эксперты, представляющие интересы различных социальных групп населения.</w:t>
      </w:r>
      <w:proofErr w:type="gramEnd"/>
    </w:p>
    <w:p w:rsidR="00100D14" w:rsidRDefault="00100D14" w:rsidP="00100D14">
      <w:pPr>
        <w:pStyle w:val="a3"/>
        <w:spacing w:before="0" w:beforeAutospacing="0" w:after="0" w:afterAutospacing="0"/>
        <w:jc w:val="both"/>
      </w:pPr>
      <w:r>
        <w:rPr>
          <w:rStyle w:val="a6"/>
        </w:rPr>
        <w:t xml:space="preserve">В публичных консультациях, организованных уполномоченным органом, приняло участие 30 респондентов. </w:t>
      </w:r>
    </w:p>
    <w:p w:rsidR="00100D14" w:rsidRDefault="00100D14" w:rsidP="00100D14">
      <w:pPr>
        <w:pStyle w:val="a3"/>
        <w:spacing w:before="0" w:beforeAutospacing="0" w:after="0" w:afterAutospacing="0"/>
        <w:jc w:val="both"/>
      </w:pPr>
      <w:r>
        <w:t xml:space="preserve">При проведении ОРВ использовались </w:t>
      </w:r>
      <w:r>
        <w:rPr>
          <w:rStyle w:val="a4"/>
        </w:rPr>
        <w:t>количественные методы</w:t>
      </w:r>
      <w:r>
        <w:t xml:space="preserve"> – возможные издержки субъектов предпринимательской деятельности составят от 17,8 до 44,5 млн. руб. за год.</w:t>
      </w:r>
    </w:p>
    <w:p w:rsidR="00100D14" w:rsidRDefault="00100D14" w:rsidP="00100D14">
      <w:pPr>
        <w:pStyle w:val="a3"/>
        <w:spacing w:before="0" w:beforeAutospacing="0" w:after="0" w:afterAutospacing="0"/>
        <w:jc w:val="both"/>
      </w:pPr>
      <w:r>
        <w:t xml:space="preserve">Проведен </w:t>
      </w:r>
      <w:r>
        <w:rPr>
          <w:rStyle w:val="a4"/>
        </w:rPr>
        <w:t xml:space="preserve">мониторинг работы других </w:t>
      </w:r>
      <w:proofErr w:type="spellStart"/>
      <w:r>
        <w:rPr>
          <w:rStyle w:val="a4"/>
        </w:rPr>
        <w:t>субъектов</w:t>
      </w:r>
      <w:r>
        <w:t>Российской</w:t>
      </w:r>
      <w:proofErr w:type="spellEnd"/>
      <w:r>
        <w:t xml:space="preserve"> Федерации в указанной сфере, изучена </w:t>
      </w:r>
      <w:r>
        <w:rPr>
          <w:rStyle w:val="a4"/>
        </w:rPr>
        <w:t>судебная практика</w:t>
      </w:r>
      <w:r>
        <w:t>.</w:t>
      </w:r>
    </w:p>
    <w:p w:rsidR="00100D14" w:rsidRDefault="00100D14" w:rsidP="00100D14">
      <w:pPr>
        <w:pStyle w:val="a3"/>
        <w:spacing w:before="0" w:beforeAutospacing="0" w:after="0" w:afterAutospacing="0"/>
        <w:jc w:val="both"/>
      </w:pPr>
      <w:r>
        <w:t xml:space="preserve">По результатам процедуры ОРВ уполномоченным органом сделан </w:t>
      </w:r>
      <w:r>
        <w:rPr>
          <w:rStyle w:val="a4"/>
        </w:rPr>
        <w:t xml:space="preserve">вывод </w:t>
      </w:r>
      <w:r>
        <w:t>об обоснованности выбранного разработчиком способа правового регулирования.</w:t>
      </w:r>
    </w:p>
    <w:p w:rsidR="00100D14" w:rsidRDefault="00100D14" w:rsidP="00100D14">
      <w:pPr>
        <w:pStyle w:val="a3"/>
        <w:spacing w:before="0" w:beforeAutospacing="0" w:after="0" w:afterAutospacing="0"/>
        <w:jc w:val="both"/>
      </w:pPr>
      <w:r>
        <w:t xml:space="preserve">Вместе с тем уполномоченным органом </w:t>
      </w:r>
      <w:r>
        <w:rPr>
          <w:rStyle w:val="a4"/>
        </w:rPr>
        <w:t>также сделан вывод</w:t>
      </w:r>
      <w:r>
        <w:t xml:space="preserve"> о необходимости доработки рассматриваемого проекта акта, предложен альтернативный вариант решения проблемы.</w:t>
      </w:r>
    </w:p>
    <w:p w:rsidR="00100D14" w:rsidRDefault="00100D14" w:rsidP="00100D14">
      <w:pPr>
        <w:pStyle w:val="a3"/>
        <w:spacing w:before="0" w:beforeAutospacing="0" w:after="0" w:afterAutospacing="0"/>
        <w:jc w:val="both"/>
      </w:pPr>
      <w:r>
        <w:rPr>
          <w:rStyle w:val="a6"/>
        </w:rPr>
        <w:lastRenderedPageBreak/>
        <w:t>Подобная формулировка итоговой части заключения носит противоречивый характер и вносит дополнительную неопределенность при принятии решения о введении предлагаемого правового регулирования.</w:t>
      </w:r>
    </w:p>
    <w:p w:rsidR="00100D14" w:rsidRDefault="00100D14" w:rsidP="00100D14">
      <w:pPr>
        <w:pStyle w:val="a3"/>
        <w:spacing w:before="0" w:beforeAutospacing="0" w:after="0" w:afterAutospacing="0"/>
      </w:pPr>
      <w:r>
        <w:t> </w:t>
      </w:r>
    </w:p>
    <w:p w:rsidR="00100D14" w:rsidRDefault="00100D14" w:rsidP="00100D14">
      <w:pPr>
        <w:pStyle w:val="a3"/>
        <w:spacing w:before="0" w:beforeAutospacing="0" w:after="0" w:afterAutospacing="0"/>
        <w:jc w:val="center"/>
      </w:pPr>
      <w:hyperlink r:id="rId16" w:history="1">
        <w:r>
          <w:rPr>
            <w:rStyle w:val="a4"/>
            <w:color w:val="0000FF"/>
            <w:u w:val="single"/>
          </w:rPr>
          <w:t>Об аренде государственного имущества, находящегося в государственной собственности</w:t>
        </w:r>
      </w:hyperlink>
    </w:p>
    <w:p w:rsidR="00100D14" w:rsidRDefault="00100D14" w:rsidP="00100D14">
      <w:pPr>
        <w:pStyle w:val="a3"/>
        <w:spacing w:before="0" w:beforeAutospacing="0" w:after="0" w:afterAutospacing="0"/>
        <w:jc w:val="both"/>
      </w:pPr>
      <w:r>
        <w:t xml:space="preserve">Экспертиза проведена в отношении </w:t>
      </w:r>
      <w:hyperlink r:id="rId17" w:history="1">
        <w:r>
          <w:rPr>
            <w:rStyle w:val="a5"/>
          </w:rPr>
          <w:t>приказа департамента имущества и земельных отношений Новосибирской области от 12 января 2012 г. № 31</w:t>
        </w:r>
      </w:hyperlink>
      <w:r>
        <w:t> «Об утверждении Порядка сдачи в аренду государственного имущества, находящегося в государственной собственности Новосибирской области».</w:t>
      </w:r>
    </w:p>
    <w:p w:rsidR="00100D14" w:rsidRDefault="00100D14" w:rsidP="00100D14">
      <w:pPr>
        <w:pStyle w:val="a3"/>
        <w:spacing w:before="0" w:beforeAutospacing="0" w:after="0" w:afterAutospacing="0"/>
        <w:jc w:val="both"/>
      </w:pPr>
      <w:r>
        <w:t>Порядок, утвержденный Приказом № 31, устанавливает процедуру сдачи в аренду, а также в субаренду государственного имущества (исключая земельные участки), находящегося в собственности Новосибирской области.</w:t>
      </w:r>
    </w:p>
    <w:p w:rsidR="00100D14" w:rsidRDefault="00100D14" w:rsidP="00100D14">
      <w:pPr>
        <w:pStyle w:val="a3"/>
        <w:spacing w:before="0" w:beforeAutospacing="0" w:after="0" w:afterAutospacing="0"/>
        <w:jc w:val="both"/>
      </w:pPr>
      <w:r>
        <w:t xml:space="preserve">Порядок проведения экспертизы в Новосибирской области утвержден </w:t>
      </w:r>
      <w:hyperlink r:id="rId18" w:history="1">
        <w:r>
          <w:rPr>
            <w:rStyle w:val="a5"/>
          </w:rPr>
          <w:t>Законом Новосибирской области</w:t>
        </w:r>
      </w:hyperlink>
      <w:r>
        <w:t xml:space="preserve"> и </w:t>
      </w:r>
      <w:hyperlink r:id="rId19" w:history="1">
        <w:r>
          <w:rPr>
            <w:rStyle w:val="a5"/>
          </w:rPr>
          <w:t>постановлением Правительства Новосибирской области</w:t>
        </w:r>
      </w:hyperlink>
      <w:r>
        <w:t>.</w:t>
      </w:r>
    </w:p>
    <w:p w:rsidR="00100D14" w:rsidRDefault="00100D14" w:rsidP="00100D14">
      <w:pPr>
        <w:pStyle w:val="a3"/>
        <w:spacing w:before="0" w:beforeAutospacing="0" w:after="0" w:afterAutospacing="0"/>
        <w:jc w:val="both"/>
      </w:pPr>
      <w:r>
        <w:t>Рассматриваемый Приказ включен в план проведения экспертизы нормативных правовых актов Новосибирской области на второе полугодие 2015 года.</w:t>
      </w:r>
    </w:p>
    <w:p w:rsidR="00100D14" w:rsidRDefault="00100D14" w:rsidP="00100D14">
      <w:pPr>
        <w:pStyle w:val="a3"/>
        <w:spacing w:before="0" w:beforeAutospacing="0" w:after="0" w:afterAutospacing="0"/>
        <w:jc w:val="both"/>
      </w:pPr>
      <w:r>
        <w:rPr>
          <w:rStyle w:val="a4"/>
        </w:rPr>
        <w:t>Публичные консультации</w:t>
      </w:r>
      <w:r>
        <w:t xml:space="preserve"> проводились в период с 7 октября по 9 ноября 2015 года.</w:t>
      </w:r>
    </w:p>
    <w:p w:rsidR="00100D14" w:rsidRDefault="00100D14" w:rsidP="00100D14">
      <w:pPr>
        <w:pStyle w:val="a3"/>
        <w:spacing w:before="0" w:beforeAutospacing="0" w:after="0" w:afterAutospacing="0"/>
        <w:jc w:val="both"/>
      </w:pPr>
      <w:r>
        <w:rPr>
          <w:rStyle w:val="a6"/>
        </w:rPr>
        <w:t>Следует отметить, что по результатам публичных консультаций поступило лишь 2 предложения, что не может позволить в достаточной степени обеспечить максимальный учет мнений всех заинтересованных сторон.</w:t>
      </w:r>
    </w:p>
    <w:p w:rsidR="00100D14" w:rsidRDefault="00100D14" w:rsidP="00100D14">
      <w:pPr>
        <w:pStyle w:val="a3"/>
        <w:spacing w:before="0" w:beforeAutospacing="0" w:after="0" w:afterAutospacing="0"/>
        <w:jc w:val="both"/>
      </w:pPr>
      <w:r>
        <w:rPr>
          <w:rStyle w:val="a6"/>
        </w:rPr>
        <w:t xml:space="preserve">В указанных случаях, в целях максимального охвата лиц, затрагиваемых действующим регулированием, целесообразно использование </w:t>
      </w:r>
      <w:r>
        <w:rPr>
          <w:rStyle w:val="a4"/>
          <w:i/>
          <w:iCs/>
        </w:rPr>
        <w:t>дополнительных форм уведомления.</w:t>
      </w:r>
    </w:p>
    <w:p w:rsidR="00100D14" w:rsidRDefault="00100D14" w:rsidP="00100D14">
      <w:pPr>
        <w:pStyle w:val="a3"/>
        <w:spacing w:before="0" w:beforeAutospacing="0" w:after="0" w:afterAutospacing="0"/>
        <w:jc w:val="both"/>
      </w:pPr>
      <w:r>
        <w:t xml:space="preserve">По результатам экспертизы </w:t>
      </w:r>
      <w:hyperlink r:id="rId20" w:history="1">
        <w:r>
          <w:rPr>
            <w:rStyle w:val="a5"/>
          </w:rPr>
          <w:t>уполномоченным органом</w:t>
        </w:r>
      </w:hyperlink>
      <w:r>
        <w:t xml:space="preserve"> предложено внести изменения в Порядок № 31 в части исключения положений, вводящих избыточные обязанности, ограничения и запреты для субъектов предпринимательской деятельности.</w:t>
      </w:r>
    </w:p>
    <w:p w:rsidR="00100D14" w:rsidRDefault="00100D14" w:rsidP="00100D14">
      <w:pPr>
        <w:pStyle w:val="a3"/>
        <w:spacing w:before="0" w:beforeAutospacing="0" w:after="0" w:afterAutospacing="0"/>
        <w:jc w:val="both"/>
      </w:pPr>
      <w:proofErr w:type="gramStart"/>
      <w:r>
        <w:rPr>
          <w:rStyle w:val="a6"/>
        </w:rPr>
        <w:t>Обращаем внимание на необходимость использования количественного сопоставления предполагаемых результатов реализации различных вариантов предлагаемого правового регулирования (включая анализ косвенного воздействия на смежные сферы общественных отношений) с учетом требуемых материальных, временных, трудовых затрат на его введение, а также возможных издержек и выгод предполагаемых адресатов такого регулирования, что позволяет в достаточной степени оценивать обоснованность правового регулирования.</w:t>
      </w:r>
      <w:proofErr w:type="gramEnd"/>
    </w:p>
    <w:p w:rsidR="00100D14" w:rsidRDefault="00100D14" w:rsidP="00100D14">
      <w:pPr>
        <w:pStyle w:val="a3"/>
        <w:spacing w:before="0" w:beforeAutospacing="0" w:after="0" w:afterAutospacing="0"/>
        <w:jc w:val="both"/>
      </w:pPr>
      <w:r>
        <w:rPr>
          <w:rStyle w:val="a6"/>
        </w:rPr>
        <w:t xml:space="preserve">При этом в соответствии с </w:t>
      </w:r>
      <w:hyperlink r:id="rId21" w:history="1">
        <w:r>
          <w:rPr>
            <w:rStyle w:val="a6"/>
            <w:color w:val="0000FF"/>
            <w:u w:val="single"/>
          </w:rPr>
          <w:t xml:space="preserve">методическими </w:t>
        </w:r>
        <w:proofErr w:type="spellStart"/>
        <w:r>
          <w:rPr>
            <w:rStyle w:val="a6"/>
            <w:color w:val="0000FF"/>
            <w:u w:val="single"/>
          </w:rPr>
          <w:t>рекомендациями</w:t>
        </w:r>
      </w:hyperlink>
      <w:r>
        <w:rPr>
          <w:rStyle w:val="a6"/>
        </w:rPr>
        <w:t>при</w:t>
      </w:r>
      <w:proofErr w:type="spellEnd"/>
      <w:r>
        <w:rPr>
          <w:rStyle w:val="a6"/>
        </w:rPr>
        <w:t xml:space="preserve"> отсутствии возможности расчета точного значения вероятности допускается указание интервала или оценочной характеристики вероятности.</w:t>
      </w:r>
    </w:p>
    <w:p w:rsidR="00100D14" w:rsidRDefault="00100D14" w:rsidP="00100D14">
      <w:pPr>
        <w:pStyle w:val="a3"/>
        <w:spacing w:before="0" w:beforeAutospacing="0" w:after="0" w:afterAutospacing="0"/>
        <w:jc w:val="both"/>
      </w:pPr>
      <w:r>
        <w:rPr>
          <w:rStyle w:val="a6"/>
        </w:rPr>
        <w:t>Так, при проведении экспертизы были выявлены положения, вводящие избыточные информационные издержки для предпринимателей, при этом количественная оценка указанных издержек не была представлена, что могло повлиять на объективность выводов, содержащихся в заключении об экспертизе.</w:t>
      </w:r>
    </w:p>
    <w:p w:rsidR="00100D14" w:rsidRDefault="00100D14" w:rsidP="00100D14">
      <w:pPr>
        <w:pStyle w:val="a3"/>
        <w:spacing w:before="0" w:beforeAutospacing="0" w:after="0" w:afterAutospacing="0"/>
        <w:jc w:val="center"/>
      </w:pPr>
      <w:hyperlink r:id="rId22" w:history="1">
        <w:r>
          <w:rPr>
            <w:rStyle w:val="a4"/>
            <w:color w:val="0000FF"/>
            <w:u w:val="single"/>
          </w:rPr>
          <w:t>О реализации масштабных инвестиционных проектов на территории Краснодарского края</w:t>
        </w:r>
      </w:hyperlink>
    </w:p>
    <w:p w:rsidR="00100D14" w:rsidRDefault="00100D14" w:rsidP="00100D14">
      <w:pPr>
        <w:pStyle w:val="a3"/>
        <w:spacing w:before="0" w:beforeAutospacing="0" w:after="0" w:afterAutospacing="0"/>
        <w:jc w:val="both"/>
      </w:pPr>
      <w:r>
        <w:t>Проектом постановления главы администрации (губернатора) Краснодарского края «О внесении изменений в постановление главы администрации (губернатора) Краснодарского края от 9 июня 2015 года № 522 …» вносятся изменения в порядок рассмотрения заявлений на предоставление земельных участков в аренду без проведения торгов.</w:t>
      </w:r>
    </w:p>
    <w:p w:rsidR="00100D14" w:rsidRDefault="00100D14" w:rsidP="00100D14">
      <w:pPr>
        <w:pStyle w:val="a3"/>
        <w:spacing w:before="0" w:beforeAutospacing="0" w:after="0" w:afterAutospacing="0"/>
        <w:jc w:val="both"/>
      </w:pPr>
      <w:r>
        <w:t xml:space="preserve">Особенности процедуры ОРВ в Краснодарском крае отражены в </w:t>
      </w:r>
      <w:hyperlink r:id="rId23" w:history="1">
        <w:r>
          <w:rPr>
            <w:rStyle w:val="a5"/>
          </w:rPr>
          <w:t>одном из предыдущих обзоров</w:t>
        </w:r>
      </w:hyperlink>
      <w:r>
        <w:t xml:space="preserve"> региональных практик.</w:t>
      </w:r>
    </w:p>
    <w:p w:rsidR="00100D14" w:rsidRDefault="00100D14" w:rsidP="00100D14">
      <w:pPr>
        <w:pStyle w:val="a3"/>
        <w:spacing w:before="0" w:beforeAutospacing="0" w:after="0" w:afterAutospacing="0"/>
        <w:jc w:val="both"/>
      </w:pPr>
      <w:r>
        <w:t>Проект акта</w:t>
      </w:r>
      <w:r>
        <w:rPr>
          <w:rStyle w:val="a4"/>
        </w:rPr>
        <w:t xml:space="preserve"> разработан в целях</w:t>
      </w:r>
      <w:r>
        <w:t xml:space="preserve"> обеспечения эффективного использования земельных участков, находящихся в государственной и муниципальной собственности, предоставленных юридическим лицам в аренду без торгов, путем проведения мониторинга реализации (размещения) инициаторами инвестиционных проектов.</w:t>
      </w:r>
    </w:p>
    <w:p w:rsidR="00100D14" w:rsidRDefault="00100D14" w:rsidP="00100D14">
      <w:pPr>
        <w:pStyle w:val="a3"/>
        <w:spacing w:before="0" w:beforeAutospacing="0" w:after="0" w:afterAutospacing="0"/>
        <w:jc w:val="both"/>
      </w:pPr>
      <w:hyperlink r:id="rId24" w:history="1">
        <w:r>
          <w:rPr>
            <w:rStyle w:val="a5"/>
          </w:rPr>
          <w:t>Органом-</w:t>
        </w:r>
        <w:proofErr w:type="spellStart"/>
        <w:r>
          <w:rPr>
            <w:rStyle w:val="a5"/>
          </w:rPr>
          <w:t>разработчиком</w:t>
        </w:r>
      </w:hyperlink>
      <w:r>
        <w:t>проведены</w:t>
      </w:r>
      <w:proofErr w:type="spellEnd"/>
      <w:r>
        <w:t xml:space="preserve"> публичные консультации с 22по 31 января 2016 года.</w:t>
      </w:r>
    </w:p>
    <w:p w:rsidR="00100D14" w:rsidRDefault="00100D14" w:rsidP="00100D14">
      <w:pPr>
        <w:pStyle w:val="a3"/>
        <w:spacing w:before="0" w:beforeAutospacing="0" w:after="0" w:afterAutospacing="0"/>
        <w:jc w:val="both"/>
      </w:pPr>
      <w:r>
        <w:rPr>
          <w:rStyle w:val="a6"/>
        </w:rPr>
        <w:t xml:space="preserve">Данные сроки проведения публичных консультаций, по нашему мнению, не могут в достаточной степени обеспечить максимальный учет мнений всех заинтересованных лиц. Следует отметить, что на федеральном уровне </w:t>
      </w:r>
      <w:hyperlink r:id="rId25" w:history="1">
        <w:r>
          <w:rPr>
            <w:rStyle w:val="a6"/>
            <w:color w:val="0000FF"/>
            <w:u w:val="single"/>
          </w:rPr>
          <w:t xml:space="preserve">Правилами проведения </w:t>
        </w:r>
        <w:proofErr w:type="spellStart"/>
        <w:r>
          <w:rPr>
            <w:rStyle w:val="a6"/>
            <w:color w:val="0000FF"/>
            <w:u w:val="single"/>
          </w:rPr>
          <w:t>ОРВ</w:t>
        </w:r>
      </w:hyperlink>
      <w:r>
        <w:rPr>
          <w:rStyle w:val="a6"/>
        </w:rPr>
        <w:t>срок</w:t>
      </w:r>
      <w:proofErr w:type="spellEnd"/>
      <w:r>
        <w:rPr>
          <w:rStyle w:val="a6"/>
        </w:rPr>
        <w:t xml:space="preserve"> проведения публичного обсуждения в отношении проектов актов установлен в 45, 20 и 10 рабочих дней для высокой, средней и низкой степени регулирующего воздействия соответственно.</w:t>
      </w:r>
    </w:p>
    <w:p w:rsidR="00100D14" w:rsidRDefault="00100D14" w:rsidP="00100D14">
      <w:pPr>
        <w:pStyle w:val="a3"/>
        <w:spacing w:before="0" w:beforeAutospacing="0" w:after="0" w:afterAutospacing="0"/>
        <w:jc w:val="both"/>
      </w:pPr>
      <w:hyperlink r:id="rId26" w:history="1">
        <w:r>
          <w:rPr>
            <w:rStyle w:val="a5"/>
          </w:rPr>
          <w:t>Уполномоченным органом</w:t>
        </w:r>
      </w:hyperlink>
      <w:r>
        <w:t xml:space="preserve"> проведены дополнительные публичные консультации по проекту в период с 1 по 8 февраля 2016 года.</w:t>
      </w:r>
    </w:p>
    <w:p w:rsidR="00100D14" w:rsidRDefault="00100D14" w:rsidP="00100D14">
      <w:pPr>
        <w:pStyle w:val="a3"/>
        <w:spacing w:before="0" w:beforeAutospacing="0" w:after="0" w:afterAutospacing="0"/>
        <w:jc w:val="both"/>
      </w:pPr>
      <w:r>
        <w:t xml:space="preserve">При проведении ОРВ использовались </w:t>
      </w:r>
      <w:r>
        <w:rPr>
          <w:rStyle w:val="a4"/>
        </w:rPr>
        <w:t>количественные методы</w:t>
      </w:r>
      <w:r>
        <w:t>:</w:t>
      </w:r>
    </w:p>
    <w:p w:rsidR="00100D14" w:rsidRDefault="00100D14" w:rsidP="00100D14">
      <w:pPr>
        <w:pStyle w:val="a3"/>
        <w:spacing w:before="0" w:beforeAutospacing="0" w:after="0" w:afterAutospacing="0"/>
        <w:jc w:val="both"/>
      </w:pPr>
      <w:proofErr w:type="gramStart"/>
      <w:r>
        <w:t>Оценены расходы потенциальных адресатов предлагаемого правового регулирования, связанные с обязанностью юридических лиц предоставлять бизнес-план (технико-экономического обоснования) инвестиционного проекта (от 50 до 300 тыс. руб., количественная оценка потенциальных адресатов невозможна в связи с заявительным характером предлагаемого проектом правового регулирования).</w:t>
      </w:r>
      <w:proofErr w:type="gramEnd"/>
    </w:p>
    <w:p w:rsidR="00100D14" w:rsidRDefault="00100D14" w:rsidP="00100D14">
      <w:pPr>
        <w:pStyle w:val="a3"/>
        <w:spacing w:before="0" w:beforeAutospacing="0" w:after="0" w:afterAutospacing="0"/>
        <w:jc w:val="both"/>
      </w:pPr>
      <w:r>
        <w:t xml:space="preserve">По результатам процедуры ОРВ выявлены положения, вводящие избыточные обязанности для заинтересованных лиц. Установлено, что отдельные положения проекта затрудняют подготовку документов заявителями, препятствуют получению инвесторами информации о процедуре рассмотрения заявлений, так как установлена несогласованность отдельных положений проекта, что усложняет понимание предложенного проектом правового регулирования. </w:t>
      </w:r>
    </w:p>
    <w:p w:rsidR="00100D14" w:rsidRDefault="00100D14" w:rsidP="00100D14">
      <w:pPr>
        <w:pStyle w:val="a3"/>
        <w:spacing w:before="0" w:beforeAutospacing="0" w:after="0" w:afterAutospacing="0"/>
        <w:jc w:val="both"/>
      </w:pPr>
      <w:r>
        <w:t xml:space="preserve">Замечания, изложенные в заключении, были учтены разработчиком проекта </w:t>
      </w:r>
      <w:r>
        <w:rPr>
          <w:rStyle w:val="a4"/>
        </w:rPr>
        <w:t>в полном объеме</w:t>
      </w:r>
      <w:r>
        <w:t xml:space="preserve">. Проект </w:t>
      </w:r>
      <w:r>
        <w:rPr>
          <w:rStyle w:val="a4"/>
        </w:rPr>
        <w:t>доработан</w:t>
      </w:r>
      <w:r>
        <w:t xml:space="preserve"> и представлен для прохождения ОРВ повторно. В результате уполномоченным органом подготовлено положительное заключение об ОРВ.  </w:t>
      </w:r>
    </w:p>
    <w:p w:rsidR="007C5B75" w:rsidRDefault="007C5B75" w:rsidP="00100D14">
      <w:pPr>
        <w:spacing w:after="0" w:line="240" w:lineRule="auto"/>
      </w:pPr>
      <w:bookmarkStart w:id="0" w:name="_GoBack"/>
      <w:bookmarkEnd w:id="0"/>
    </w:p>
    <w:sectPr w:rsidR="007C5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B33"/>
    <w:rsid w:val="00093B33"/>
    <w:rsid w:val="00100D14"/>
    <w:rsid w:val="007C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0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0D14"/>
    <w:rPr>
      <w:b/>
      <w:bCs/>
    </w:rPr>
  </w:style>
  <w:style w:type="character" w:styleId="a5">
    <w:name w:val="Hyperlink"/>
    <w:basedOn w:val="a0"/>
    <w:uiPriority w:val="99"/>
    <w:semiHidden/>
    <w:unhideWhenUsed/>
    <w:rsid w:val="00100D14"/>
    <w:rPr>
      <w:color w:val="0000FF"/>
      <w:u w:val="single"/>
    </w:rPr>
  </w:style>
  <w:style w:type="character" w:styleId="a6">
    <w:name w:val="Emphasis"/>
    <w:basedOn w:val="a0"/>
    <w:uiPriority w:val="20"/>
    <w:qFormat/>
    <w:rsid w:val="00100D1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0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0D14"/>
    <w:rPr>
      <w:b/>
      <w:bCs/>
    </w:rPr>
  </w:style>
  <w:style w:type="character" w:styleId="a5">
    <w:name w:val="Hyperlink"/>
    <w:basedOn w:val="a0"/>
    <w:uiPriority w:val="99"/>
    <w:semiHidden/>
    <w:unhideWhenUsed/>
    <w:rsid w:val="00100D14"/>
    <w:rPr>
      <w:color w:val="0000FF"/>
      <w:u w:val="single"/>
    </w:rPr>
  </w:style>
  <w:style w:type="character" w:styleId="a6">
    <w:name w:val="Emphasis"/>
    <w:basedOn w:val="a0"/>
    <w:uiPriority w:val="20"/>
    <w:qFormat/>
    <w:rsid w:val="00100D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0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nomy.permkrai.ru/upload/412-%D0%9F%D0%9A.docx" TargetMode="External"/><Relationship Id="rId13" Type="http://schemas.openxmlformats.org/officeDocument/2006/relationships/hyperlink" Target="http://orv.gov.ru/Content/Item?n=10162" TargetMode="External"/><Relationship Id="rId18" Type="http://schemas.openxmlformats.org/officeDocument/2006/relationships/hyperlink" Target="http://www.nso.ru/sites/test.new.nso.ru/wodby_files/files/page_2488/zakon_novosibirskoy_oblasti_ot_24_noyabrya_2014_g._n_485-oz.pdf" TargetMode="External"/><Relationship Id="rId26" Type="http://schemas.openxmlformats.org/officeDocument/2006/relationships/hyperlink" Target="http://kubaninves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rv.gov.ru/Content/Item?n=6377" TargetMode="External"/><Relationship Id="rId7" Type="http://schemas.openxmlformats.org/officeDocument/2006/relationships/hyperlink" Target="https://www.google.ru/url?sa=t&amp;rct=j&amp;q=&amp;esrc=s&amp;source=web&amp;cd=1&amp;ved=0ahUKEwiC4OaU5b_LAhWIJZoKHanrDM0QFggbMAA&amp;url=http%3A%2F%2Fwww.novogor.perm.ru%2Fdocument%2F11.doc&amp;usg=AFQjCNGkLoyhzDLWhfCjDQPkuqr_aN1XxQ&amp;sig2=VjmlgWSbGbwUsJxNR8N5Lg&amp;bvm=bv.116636494,d.bGs" TargetMode="External"/><Relationship Id="rId12" Type="http://schemas.openxmlformats.org/officeDocument/2006/relationships/hyperlink" Target="http://orv.gov.ru/Content/Item?n=11892" TargetMode="External"/><Relationship Id="rId17" Type="http://schemas.openxmlformats.org/officeDocument/2006/relationships/hyperlink" Target="https://www.google.ru/url?sa=t&amp;rct=j&amp;q=&amp;esrc=s&amp;source=web&amp;cd=2&amp;cad=rja&amp;uact=8&amp;ved=0ahUKEwiWs4Xb77_LAhUjSJoKHVVdDcQQFgghMAE&amp;url=http%3A%2F%2Fdizonso2.nso.ru%2FDocumentation%2FDocLib%2Forder%2520number%252031%2520of%2520date%252012.01.2012.doc&amp;usg=AFQjCNFx_P_xuHsTJhREAC738Hfn_r5knQ&amp;sig2=LwZKsddrsXmr_Es9pF-LtQ" TargetMode="External"/><Relationship Id="rId25" Type="http://schemas.openxmlformats.org/officeDocument/2006/relationships/hyperlink" Target="http://orv.gov.ru/Content/Item?n=12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rv.gov.ru/Content/Item?n=11802" TargetMode="External"/><Relationship Id="rId20" Type="http://schemas.openxmlformats.org/officeDocument/2006/relationships/hyperlink" Target="http://www.econom.nso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orv.gov.ru/Content/Item?n=11698" TargetMode="External"/><Relationship Id="rId11" Type="http://schemas.openxmlformats.org/officeDocument/2006/relationships/hyperlink" Target="http://economy.permkrai.ru/assessment/regulatory-impact-assessment/" TargetMode="External"/><Relationship Id="rId24" Type="http://schemas.openxmlformats.org/officeDocument/2006/relationships/hyperlink" Target="http://kubaninvest.ru/" TargetMode="External"/><Relationship Id="rId5" Type="http://schemas.openxmlformats.org/officeDocument/2006/relationships/hyperlink" Target="http://orv.gov.ru/Content/Item?n=11828" TargetMode="External"/><Relationship Id="rId15" Type="http://schemas.openxmlformats.org/officeDocument/2006/relationships/hyperlink" Target="http://www.minec-rd.ru/" TargetMode="External"/><Relationship Id="rId23" Type="http://schemas.openxmlformats.org/officeDocument/2006/relationships/hyperlink" Target="http://orv.gov.ru/Content/Item?n=1016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economy.permkrai.ru/%D0%9F%D1%80%D0%B8%D0%BA%D0%B0%D0%B7%20%D0%BE%D0%B1%20%D0%A3%D1%82%D0%B2%D0%B5%D1%80%D0%B6%D0%B4%D0%B5%D0%BD%D0%B8%D0%B8%20%D1%84%D0%BE%D1%80%D0%BC%20%D1%81%D0%B2%D0%BE%D0%B4%D0%BD%D0%BE%D0%B3%D0%BE%20%D0%BE%D1%82%D1%87%D1%91%D1%82%D0%B0%20%D0%B8%20%D0%B7%D0%B0%D0%BA%D0%BB%D1%8E%D1%87%D0%B5%D0%BD%D0%B8%D1%8F.doc" TargetMode="External"/><Relationship Id="rId19" Type="http://schemas.openxmlformats.org/officeDocument/2006/relationships/hyperlink" Target="http://www.nso.ru/sites/test.new.nso.ru/wodby_files/files/imce/poryadok_provedeniya_ekspertizy_normativnyh_pravovyz_aktov_novosibirskoy_oblasti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onomy.permkrai.ru/upload/%D0%A3%D0%BA%D0%B0%D0%B7%20%D0%B3%D1%83%D0%B1%D0%B5%D1%80%D0%BD%D0%B0%D1%82%D0%BE%D1%80%D0%B0%20%D0%9F%D0%B5%D1%80%D0%BC%D1%81%D0%BA%D0%BE%D0%B3%D0%BE%20%D0%BA%D1%80%D0%B0%D1%8F%20%D0%BE%D1%82%2018.02.2015%20%E2%84%96%2023%20%D0%9E%D0%B1%20%D0%9E%D0%A0%D0%92%20%D0%BF%D1%80%D0%BE%D0%B5%D0%BA%D1%82%D0%BE%D0%B2%20%D0%9D%D0%9F%D0%90%20%D0%9F%D0%9A%20%D0%B8%20%D1%8D%D0%BA%D1%81%D0%BF%D0%B5%D1%80%D1%82%D0%B8%D0%B7%D0%B5%20%D0%9D%D0%9F%D0%90%20%D0%9F%D0%9A.pdf" TargetMode="External"/><Relationship Id="rId14" Type="http://schemas.openxmlformats.org/officeDocument/2006/relationships/hyperlink" Target="http://mcxrd.ru/" TargetMode="External"/><Relationship Id="rId22" Type="http://schemas.openxmlformats.org/officeDocument/2006/relationships/hyperlink" Target="http://orv.gov.ru/Content/Item?n=1189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2138</Words>
  <Characters>12190</Characters>
  <Application>Microsoft Office Word</Application>
  <DocSecurity>0</DocSecurity>
  <Lines>101</Lines>
  <Paragraphs>28</Paragraphs>
  <ScaleCrop>false</ScaleCrop>
  <Company>SPecialiST RePack</Company>
  <LinksUpToDate>false</LinksUpToDate>
  <CharactersWithSpaces>14300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Сунгурова Марианна Шамиловна</dc:creator>
  <cp:keywords/>
  <dc:description/>
  <cp:lastModifiedBy>Сунгурова Марианна Шамиловна</cp:lastModifiedBy>
  <cp:revision>2</cp:revision>
  <dcterms:created xsi:type="dcterms:W3CDTF">2017-03-24T13:53:00Z</dcterms:created>
  <dcterms:modified xsi:type="dcterms:W3CDTF">2017-03-24T13:54:00Z</dcterms:modified>
</cp:coreProperties>
</file>