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14" w:rsidRDefault="00100D14" w:rsidP="00100D14">
      <w:pPr>
        <w:pStyle w:val="a3"/>
        <w:spacing w:before="0" w:beforeAutospacing="0" w:after="0" w:afterAutospacing="0"/>
        <w:jc w:val="center"/>
      </w:pPr>
      <w:r>
        <w:rPr>
          <w:rStyle w:val="a4"/>
        </w:rPr>
        <w:t>ОБЗОР</w:t>
      </w:r>
    </w:p>
    <w:p w:rsidR="00100D14" w:rsidRDefault="00100D14" w:rsidP="00100D14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лучших практик проведения оценки регулирующего воздействия </w:t>
      </w:r>
      <w:r>
        <w:rPr>
          <w:b/>
          <w:bCs/>
        </w:rPr>
        <w:br/>
      </w:r>
      <w:r>
        <w:rPr>
          <w:rStyle w:val="a4"/>
        </w:rPr>
        <w:t>в субъектах Российской Федерации, размещенных на портале orv.gov.ru</w:t>
      </w:r>
      <w:r>
        <w:rPr>
          <w:b/>
          <w:bCs/>
        </w:rPr>
        <w:br/>
      </w:r>
      <w:r>
        <w:rPr>
          <w:rStyle w:val="a4"/>
        </w:rPr>
        <w:t>в феврале 2016 года</w:t>
      </w:r>
    </w:p>
    <w:p w:rsidR="00100D14" w:rsidRDefault="00100D14" w:rsidP="00100D14">
      <w:pPr>
        <w:pStyle w:val="a3"/>
        <w:spacing w:before="0" w:beforeAutospacing="0" w:after="0" w:afterAutospacing="0"/>
      </w:pPr>
      <w:proofErr w:type="gramStart"/>
      <w:r>
        <w:t>Из 15 практик, размещенных на портале, особого внимания, по мнению Минэкономразвития России, заслуживают следующие:</w:t>
      </w:r>
      <w:proofErr w:type="gramEnd"/>
    </w:p>
    <w:p w:rsidR="00100D14" w:rsidRDefault="00100D14" w:rsidP="00100D14">
      <w:pPr>
        <w:pStyle w:val="a3"/>
        <w:spacing w:before="0" w:beforeAutospacing="0" w:after="0" w:afterAutospacing="0"/>
        <w:jc w:val="center"/>
      </w:pPr>
      <w:hyperlink r:id="rId5" w:history="1">
        <w:r>
          <w:rPr>
            <w:rStyle w:val="a4"/>
            <w:color w:val="0000FF"/>
            <w:u w:val="single"/>
          </w:rPr>
          <w:t xml:space="preserve">О порядке взимания платы за сброс сточных вод и загрязняющих веществ </w:t>
        </w:r>
      </w:hyperlink>
    </w:p>
    <w:p w:rsidR="00100D14" w:rsidRDefault="00100D14" w:rsidP="00100D14">
      <w:pPr>
        <w:pStyle w:val="a3"/>
        <w:spacing w:before="0" w:beforeAutospacing="0" w:after="0" w:afterAutospacing="0"/>
        <w:jc w:val="both"/>
      </w:pPr>
      <w:hyperlink r:id="rId6" w:history="1">
        <w:r>
          <w:rPr>
            <w:rStyle w:val="a5"/>
          </w:rPr>
          <w:t xml:space="preserve">Экспертиза проведена в отношении </w:t>
        </w:r>
      </w:hyperlink>
      <w:hyperlink r:id="rId7" w:history="1">
        <w:r>
          <w:rPr>
            <w:rStyle w:val="a5"/>
          </w:rPr>
          <w:t>Указа губернатора Пермской области от 29 августа 2003 г. № 167</w:t>
        </w:r>
      </w:hyperlink>
      <w:r>
        <w:t xml:space="preserve"> «О порядке взимания платы за сброс сточных вод и загрязняющих веществ в системы канализации населенных пунктов Пермской области».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Указом № 167 установлен порядок расчета платы за негативное воздействие на окружающую среду в Пермском крае.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Порядок проведения экспертизы в Пермском крае определен </w:t>
      </w:r>
      <w:hyperlink r:id="rId8" w:history="1">
        <w:r>
          <w:rPr>
            <w:rStyle w:val="a5"/>
          </w:rPr>
          <w:t>Законом Пермского края</w:t>
        </w:r>
      </w:hyperlink>
      <w:r>
        <w:t xml:space="preserve"> и </w:t>
      </w:r>
      <w:hyperlink r:id="rId9" w:history="1">
        <w:r>
          <w:rPr>
            <w:rStyle w:val="a5"/>
          </w:rPr>
          <w:t>Указом губернатора Пермского края</w:t>
        </w:r>
      </w:hyperlink>
      <w: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Экспертиза проводилась в соответствии с утвержденным планом на 2015 год и на основании предложений о проведении экспертизы, поступивших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</w:t>
      </w:r>
      <w:proofErr w:type="spellStart"/>
      <w:r>
        <w:t>органот</w:t>
      </w:r>
      <w:proofErr w:type="spellEnd"/>
      <w:r>
        <w:t xml:space="preserve"> Уполномоченного по защите прав предпринимателей в Пермском крае В.А. Белова.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В Пермском крае </w:t>
      </w:r>
      <w:hyperlink r:id="rId10" w:history="1">
        <w:r>
          <w:rPr>
            <w:rStyle w:val="a6"/>
            <w:color w:val="0000FF"/>
            <w:u w:val="single"/>
          </w:rPr>
          <w:t>утверждены типовые формы документов</w:t>
        </w:r>
      </w:hyperlink>
      <w:r>
        <w:rPr>
          <w:rStyle w:val="a6"/>
        </w:rPr>
        <w:t>, используемые при проведении экспертизы, что помогает избежать пробелов и разночтений при ее проведении.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В ходе проведения экспертизы Указа № 167 с 20 мая по 20 июня 2015 года были проведены </w:t>
      </w:r>
      <w:r>
        <w:rPr>
          <w:rStyle w:val="a4"/>
        </w:rPr>
        <w:t>публичные консультации</w:t>
      </w:r>
      <w: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При проведении экспертизы использовались </w:t>
      </w:r>
      <w:r>
        <w:rPr>
          <w:rStyle w:val="a4"/>
        </w:rPr>
        <w:t>количественные методы</w:t>
      </w:r>
      <w:r>
        <w:t>: приведено несколько примеров по расчету платежей за несоблюдение требований к качеству канализационных стоков.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Следует отметить, что значительная часть количественной и качественной оценки рассматриваемого правового регулирования представлена заинтересованными лицами на этапе публичных консультаций.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Детальная и обоснованная позиция заинтересованных лиц в рамках поставленного вопроса, а также отсутствие «формального» подхода со стороны </w:t>
      </w:r>
      <w:proofErr w:type="gramStart"/>
      <w:r>
        <w:rPr>
          <w:rStyle w:val="a6"/>
        </w:rPr>
        <w:t>бизнес-сообщества</w:t>
      </w:r>
      <w:proofErr w:type="gramEnd"/>
      <w:r>
        <w:rPr>
          <w:rStyle w:val="a6"/>
        </w:rPr>
        <w:t xml:space="preserve"> и органов государственной власти при проведении публичных консультаций способствуют принятию объективных решений в рамках экспертизы нормативных правовых актов.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Кроме того, проведен </w:t>
      </w:r>
      <w:r>
        <w:rPr>
          <w:rStyle w:val="a4"/>
        </w:rPr>
        <w:t xml:space="preserve">мониторинг </w:t>
      </w:r>
      <w:r>
        <w:t>регулирования данных вопросов других субъектов Российской Федерации.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В Пермском крае, кроме экспертизы нормативных правовых актов, затрагивающих вопросы осуществления предпринимательской и инвестиционной деятельности, в отношении нормативных правовых актов, по проектам которых осуществлялась процедура ОРВ, проводится процедура оценки фактического воздействия (ОФВ) нормативных правовых актов Пермского края, порядок проведения которой установлен Указом губернатора Пермского края.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Обращаем внимание субъектов Российской Федерации, не осуществляющих  мероприятий по проведению ОФВ, что положения 184-ФЗ не запрещают проведения ОФВ. 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Так, в соответствии с 184-ФЗ целью проведения экспертизы нормативных правовых актов является выявление положений, необоснованно затрудняющих осуществление предпринимательской и инвестиционной деятельности, при этом выявление указанных положений может осуществляться, в том числе, в актах, по проектам которых проводилась процедура ОРВ, что является признаком ОФВ.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 результатам экспертизы </w:t>
      </w:r>
      <w:hyperlink r:id="rId11" w:history="1">
        <w:r>
          <w:rPr>
            <w:rStyle w:val="a5"/>
          </w:rPr>
          <w:t>уполномоченным органом</w:t>
        </w:r>
      </w:hyperlink>
      <w:r>
        <w:t xml:space="preserve"> сделан вывод, что Указ № 167 противоречит федеральному законодательству и создаёт условия для избыточной финансовой нагрузки на субъекты предпринимательской деятельности.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proofErr w:type="gramStart"/>
      <w:r>
        <w:rPr>
          <w:rStyle w:val="a6"/>
        </w:rPr>
        <w:lastRenderedPageBreak/>
        <w:t>В настоящее время Указ № 167 утратил силу в связи с изданием Постановления Правительства Пермского края от 12 января 2016 № 3-п «Об утверждении Порядка взимания платы за сброс загрязняющих веществ в системы канализации населенных пунктов Пермского края с предприятий и организаций, отводящих сточные воды и загрязняющие вещества в системы канализации населенных пунктов Пермского края».</w:t>
      </w:r>
      <w:proofErr w:type="gramEnd"/>
    </w:p>
    <w:p w:rsidR="00100D14" w:rsidRDefault="00100D14" w:rsidP="00100D14">
      <w:pPr>
        <w:pStyle w:val="a3"/>
        <w:spacing w:before="0" w:beforeAutospacing="0" w:after="0" w:afterAutospacing="0"/>
        <w:jc w:val="center"/>
      </w:pPr>
      <w:hyperlink r:id="rId12" w:history="1">
        <w:r>
          <w:rPr>
            <w:rStyle w:val="a4"/>
            <w:color w:val="0000FF"/>
            <w:u w:val="single"/>
          </w:rPr>
          <w:t xml:space="preserve">Об установлении дополнительных ограничений времени розничной продажи алкогольной продукции </w:t>
        </w:r>
      </w:hyperlink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Проектом закона Республики Дагестан «О внесении изменений в Закон  Республики Дагестан «Об установлении дополнительных ограничений времени розничной продажи алкогольной продукции на территории Республики Дагестан» регулируются общественные отношения в сфере продажи алкогольной продукции.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Особенности процедуры ОРВ в Республике Дагестан отражены в одном из </w:t>
      </w:r>
      <w:hyperlink r:id="rId13" w:history="1">
        <w:r>
          <w:rPr>
            <w:rStyle w:val="a5"/>
          </w:rPr>
          <w:t>предыдущих обзоров</w:t>
        </w:r>
      </w:hyperlink>
      <w:r>
        <w:t xml:space="preserve"> региональных практик.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Проект акта разработан </w:t>
      </w:r>
      <w:r>
        <w:rPr>
          <w:rStyle w:val="a4"/>
        </w:rPr>
        <w:t>в целях</w:t>
      </w:r>
      <w:r>
        <w:t xml:space="preserve"> защиты нравственности, здоровья, прав и законных интересов несовершеннолетних и ограничения продажи спиртосодержащих напитков на территории Республики Дагестан</w:t>
      </w:r>
      <w:r>
        <w:rPr>
          <w:rStyle w:val="a4"/>
        </w:rP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Проект акта отнесен </w:t>
      </w:r>
      <w:hyperlink r:id="rId14" w:history="1">
        <w:r>
          <w:rPr>
            <w:rStyle w:val="a5"/>
          </w:rPr>
          <w:t>органом-разработчиком</w:t>
        </w:r>
      </w:hyperlink>
      <w:r>
        <w:t xml:space="preserve"> к </w:t>
      </w:r>
      <w:r>
        <w:rPr>
          <w:rStyle w:val="a4"/>
        </w:rPr>
        <w:t>низкой степени</w:t>
      </w:r>
      <w:r>
        <w:t xml:space="preserve"> регулирующего воздействия.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Вместе с тем проектом акта предусматривается ранее не предусмотренные нормативными правовыми актами Республики Дагестан обязанности, запреты и ограничения для физических и юридических лиц в сфере предпринимательской деятельности, в </w:t>
      </w:r>
      <w:proofErr w:type="gramStart"/>
      <w:r>
        <w:rPr>
          <w:rStyle w:val="a6"/>
        </w:rPr>
        <w:t>связи</w:t>
      </w:r>
      <w:proofErr w:type="gramEnd"/>
      <w:r>
        <w:rPr>
          <w:rStyle w:val="a6"/>
        </w:rPr>
        <w:t xml:space="preserve"> </w:t>
      </w:r>
      <w:r>
        <w:rPr>
          <w:i/>
          <w:iCs/>
        </w:rPr>
        <w:br/>
      </w:r>
      <w:r>
        <w:rPr>
          <w:rStyle w:val="a6"/>
        </w:rPr>
        <w:t xml:space="preserve">с чем проект акта отнесен уполномоченным </w:t>
      </w:r>
      <w:proofErr w:type="spellStart"/>
      <w:r>
        <w:rPr>
          <w:rStyle w:val="a6"/>
        </w:rPr>
        <w:t>органомк</w:t>
      </w:r>
      <w:proofErr w:type="spellEnd"/>
      <w:r>
        <w:rPr>
          <w:rStyle w:val="a6"/>
        </w:rPr>
        <w:t xml:space="preserve"> </w:t>
      </w:r>
      <w:r>
        <w:rPr>
          <w:rStyle w:val="a4"/>
          <w:i/>
          <w:iCs/>
        </w:rPr>
        <w:t>высокой</w:t>
      </w:r>
      <w:r>
        <w:rPr>
          <w:rStyle w:val="a6"/>
        </w:rPr>
        <w:t xml:space="preserve"> степени регулирующего воздействия.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Органом – </w:t>
      </w:r>
      <w:proofErr w:type="spellStart"/>
      <w:r>
        <w:t>разработчикомпроведены</w:t>
      </w:r>
      <w:proofErr w:type="spellEnd"/>
      <w:r>
        <w:t xml:space="preserve"> </w:t>
      </w:r>
      <w:r>
        <w:rPr>
          <w:rStyle w:val="a4"/>
        </w:rPr>
        <w:t>публичные консультации</w:t>
      </w:r>
      <w:r>
        <w:t xml:space="preserve"> уведомления о подготовке проекта акта в сроки с 17 по 31 декабря 2015 года, а также сводного отчета и проекта акта  в сроки с  5 по 19 января 2016 года, замечания и предложения от заинтересованных лиц не поступили.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Обращаем внимание на то, что значительная часть времени, отведенная для проведения публичных консультаций по проекту акта, затронула выходные и праздничные дни (более 8 дней), что оказало негативное влияние на качество процедуры.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Ввиду отсутствия замечаний и предложений от заинтересованных лиц, </w:t>
      </w:r>
      <w:hyperlink r:id="rId15" w:history="1">
        <w:r>
          <w:rPr>
            <w:rStyle w:val="a6"/>
            <w:color w:val="0000FF"/>
            <w:u w:val="single"/>
          </w:rPr>
          <w:t xml:space="preserve">уполномоченным </w:t>
        </w:r>
        <w:proofErr w:type="spellStart"/>
        <w:r>
          <w:rPr>
            <w:rStyle w:val="a6"/>
            <w:color w:val="0000FF"/>
            <w:u w:val="single"/>
          </w:rPr>
          <w:t>органом</w:t>
        </w:r>
      </w:hyperlink>
      <w:r>
        <w:rPr>
          <w:rStyle w:val="a6"/>
        </w:rPr>
        <w:t>сделан</w:t>
      </w:r>
      <w:proofErr w:type="spellEnd"/>
      <w:r>
        <w:rPr>
          <w:rStyle w:val="a6"/>
        </w:rPr>
        <w:t xml:space="preserve"> вывод о неэффективности проведенных органом-разработчиком публичных консультаций.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Уполномоченным органом было принято решение о проведении публичных консультаций на этапе подготовки заключения об ОРВ </w:t>
      </w:r>
      <w:r>
        <w:rPr>
          <w:i/>
          <w:iCs/>
        </w:rPr>
        <w:br/>
      </w:r>
      <w:r>
        <w:rPr>
          <w:rStyle w:val="a6"/>
        </w:rPr>
        <w:t xml:space="preserve">с использованием </w:t>
      </w:r>
      <w:r>
        <w:rPr>
          <w:rStyle w:val="a6"/>
          <w:b/>
          <w:bCs/>
        </w:rPr>
        <w:t>дополнительных форм уведомления заинтересованных лиц</w:t>
      </w:r>
      <w:r>
        <w:rPr>
          <w:rStyle w:val="a6"/>
        </w:rP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proofErr w:type="gramStart"/>
      <w:r>
        <w:rPr>
          <w:rStyle w:val="a6"/>
        </w:rPr>
        <w:t>Так, уполномоченным органом была использована площадка Комитета Народного Собрания Республики Дагестан по межнациональным отношениям, делам общественных и религиозных объединений, на которую были приглашены эксперты, представляющие интересы различных социальных групп населения.</w:t>
      </w:r>
      <w:proofErr w:type="gramEnd"/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В публичных консультациях, организованных уполномоченным органом, приняло участие 30 респондентов. 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При проведении ОРВ использовались </w:t>
      </w:r>
      <w:r>
        <w:rPr>
          <w:rStyle w:val="a4"/>
        </w:rPr>
        <w:t>количественные методы</w:t>
      </w:r>
      <w:r>
        <w:t xml:space="preserve"> – возможные издержки субъектов предпринимательской деятельности составят от 17,8 до 44,5 млн. руб. за год.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Проведен </w:t>
      </w:r>
      <w:r>
        <w:rPr>
          <w:rStyle w:val="a4"/>
        </w:rPr>
        <w:t xml:space="preserve">мониторинг работы других </w:t>
      </w:r>
      <w:proofErr w:type="spellStart"/>
      <w:r>
        <w:rPr>
          <w:rStyle w:val="a4"/>
        </w:rPr>
        <w:t>субъектов</w:t>
      </w:r>
      <w:r>
        <w:t>Российской</w:t>
      </w:r>
      <w:proofErr w:type="spellEnd"/>
      <w:r>
        <w:t xml:space="preserve"> Федерации в указанной сфере, изучена </w:t>
      </w:r>
      <w:r>
        <w:rPr>
          <w:rStyle w:val="a4"/>
        </w:rPr>
        <w:t>судебная практика</w:t>
      </w:r>
      <w: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 результатам процедуры ОРВ уполномоченным органом сделан </w:t>
      </w:r>
      <w:r>
        <w:rPr>
          <w:rStyle w:val="a4"/>
        </w:rPr>
        <w:t xml:space="preserve">вывод </w:t>
      </w:r>
      <w:r>
        <w:t>об обоснованности выбранного разработчиком способа правового регулирования.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Вместе с тем уполномоченным органом </w:t>
      </w:r>
      <w:r>
        <w:rPr>
          <w:rStyle w:val="a4"/>
        </w:rPr>
        <w:t>также сделан вывод</w:t>
      </w:r>
      <w:r>
        <w:t xml:space="preserve"> о необходимости доработки рассматриваемого проекта акта, предложен альтернативный вариант решения проблемы.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lastRenderedPageBreak/>
        <w:t>Подобная формулировка итоговой части заключения носит противоречивый характер и вносит дополнительную неопределенность при принятии решения о введении предлагаемого правового регулирования.</w:t>
      </w:r>
    </w:p>
    <w:p w:rsidR="00100D14" w:rsidRDefault="00100D14" w:rsidP="00100D14">
      <w:pPr>
        <w:pStyle w:val="a3"/>
        <w:spacing w:before="0" w:beforeAutospacing="0" w:after="0" w:afterAutospacing="0"/>
      </w:pPr>
      <w:r>
        <w:t> </w:t>
      </w:r>
    </w:p>
    <w:p w:rsidR="00100D14" w:rsidRDefault="00100D14" w:rsidP="00100D14">
      <w:pPr>
        <w:pStyle w:val="a3"/>
        <w:spacing w:before="0" w:beforeAutospacing="0" w:after="0" w:afterAutospacing="0"/>
        <w:jc w:val="center"/>
      </w:pPr>
      <w:hyperlink r:id="rId16" w:history="1">
        <w:r>
          <w:rPr>
            <w:rStyle w:val="a4"/>
            <w:color w:val="0000FF"/>
            <w:u w:val="single"/>
          </w:rPr>
          <w:t>Об аренде государственного имущества, находящегося в государственной собственности</w:t>
        </w:r>
      </w:hyperlink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Экспертиза проведена в отношении </w:t>
      </w:r>
      <w:hyperlink r:id="rId17" w:history="1">
        <w:r>
          <w:rPr>
            <w:rStyle w:val="a5"/>
          </w:rPr>
          <w:t>приказа департамента имущества и земельных отношений Новосибирской области от 12 января 2012 г. № 31</w:t>
        </w:r>
      </w:hyperlink>
      <w:r>
        <w:t> «Об утверждении Порядка сдачи в аренду государственного имущества, находящегося в государственной собственности Новосибирской области».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Порядок, утвержденный Приказом № 31, устанавливает процедуру сдачи в аренду, а также в субаренду государственного имущества (исключая земельные участки), находящегося в собственности Новосибирской области.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Порядок проведения экспертизы в Новосибирской области утвержден </w:t>
      </w:r>
      <w:hyperlink r:id="rId18" w:history="1">
        <w:r>
          <w:rPr>
            <w:rStyle w:val="a5"/>
          </w:rPr>
          <w:t>Законом Новосибирской области</w:t>
        </w:r>
      </w:hyperlink>
      <w:r>
        <w:t xml:space="preserve"> и </w:t>
      </w:r>
      <w:hyperlink r:id="rId19" w:history="1">
        <w:r>
          <w:rPr>
            <w:rStyle w:val="a5"/>
          </w:rPr>
          <w:t>постановлением Правительства Новосибирской области</w:t>
        </w:r>
      </w:hyperlink>
      <w:r>
        <w:t>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Рассматриваемый Приказ включен в план проведения экспертизы нормативных правовых актов Новосибирской области на второе полугодие 2015 года.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4"/>
        </w:rPr>
        <w:t>Публичные консультации</w:t>
      </w:r>
      <w:r>
        <w:t xml:space="preserve"> проводились в период с 7 октября по 9 ноября 2015 года.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Следует отметить, что по результатам публичных консультаций поступило лишь 2 предложения, что не может позволить в достаточной степени обеспечить максимальный учет мнений всех заинтересованных сторон.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В указанных случаях, в целях максимального охвата лиц, затрагиваемых действующим регулированием, целесообразно использование </w:t>
      </w:r>
      <w:r>
        <w:rPr>
          <w:rStyle w:val="a4"/>
          <w:i/>
          <w:iCs/>
        </w:rPr>
        <w:t>дополнительных форм уведомления.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 результатам экспертизы </w:t>
      </w:r>
      <w:hyperlink r:id="rId20" w:history="1">
        <w:r>
          <w:rPr>
            <w:rStyle w:val="a5"/>
          </w:rPr>
          <w:t>уполномоченным органом</w:t>
        </w:r>
      </w:hyperlink>
      <w:r>
        <w:t xml:space="preserve"> предложено внести изменения в Порядок № 31 в части исключения положений, вводящих избыточные обязанности, ограничения и запреты для субъектов предпринимательской деятельности.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proofErr w:type="gramStart"/>
      <w:r>
        <w:rPr>
          <w:rStyle w:val="a6"/>
        </w:rPr>
        <w:t>Обращаем внимание на необходимость использования количественного сопоставления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также возможных издержек и выгод предполагаемых адресатов такого регулирования, что позволяет в достаточной степени оценивать обоснованность правового регулирования.</w:t>
      </w:r>
      <w:proofErr w:type="gramEnd"/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При этом в соответствии с </w:t>
      </w:r>
      <w:hyperlink r:id="rId21" w:history="1">
        <w:r>
          <w:rPr>
            <w:rStyle w:val="a6"/>
            <w:color w:val="0000FF"/>
            <w:u w:val="single"/>
          </w:rPr>
          <w:t xml:space="preserve">методическими </w:t>
        </w:r>
        <w:proofErr w:type="spellStart"/>
        <w:r>
          <w:rPr>
            <w:rStyle w:val="a6"/>
            <w:color w:val="0000FF"/>
            <w:u w:val="single"/>
          </w:rPr>
          <w:t>рекомендациями</w:t>
        </w:r>
      </w:hyperlink>
      <w:r>
        <w:rPr>
          <w:rStyle w:val="a6"/>
        </w:rPr>
        <w:t>при</w:t>
      </w:r>
      <w:proofErr w:type="spellEnd"/>
      <w:r>
        <w:rPr>
          <w:rStyle w:val="a6"/>
        </w:rPr>
        <w:t xml:space="preserve"> отсутствии возможности расчета точного значения вероятности допускается указание интервала или оценочной характеристики вероятности.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>Так, при проведении экспертизы были выявлены положения, вводящие избыточные информационные издержки для предпринимателей, при этом количественная оценка указанных издержек не была представлена, что могло повлиять на объективность выводов, содержащихся в заключении об экспертизе.</w:t>
      </w:r>
    </w:p>
    <w:p w:rsidR="00100D14" w:rsidRDefault="00100D14" w:rsidP="00100D14">
      <w:pPr>
        <w:pStyle w:val="a3"/>
        <w:spacing w:before="0" w:beforeAutospacing="0" w:after="0" w:afterAutospacing="0"/>
        <w:jc w:val="center"/>
      </w:pPr>
      <w:hyperlink r:id="rId22" w:history="1">
        <w:r>
          <w:rPr>
            <w:rStyle w:val="a4"/>
            <w:color w:val="0000FF"/>
            <w:u w:val="single"/>
          </w:rPr>
          <w:t>О реализации масштабных инвестиционных проектов на территории Краснодарского края</w:t>
        </w:r>
      </w:hyperlink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Проектом постановления главы администрации (губернатора) Краснодарского края «О внесении изменений в постановление главы администрации (губернатора) Краснодарского края от 9 июня 2015 года № 522 …» вносятся изменения в порядок рассмотрения заявлений на предоставление земельных участков в аренду без проведения торгов.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Особенности процедуры ОРВ в Краснодарском крае отражены в </w:t>
      </w:r>
      <w:hyperlink r:id="rId23" w:history="1">
        <w:r>
          <w:rPr>
            <w:rStyle w:val="a5"/>
          </w:rPr>
          <w:t>одном из предыдущих обзоров</w:t>
        </w:r>
      </w:hyperlink>
      <w:r>
        <w:t xml:space="preserve"> региональных практик.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>Проект акта</w:t>
      </w:r>
      <w:r>
        <w:rPr>
          <w:rStyle w:val="a4"/>
        </w:rPr>
        <w:t xml:space="preserve"> разработан в целях</w:t>
      </w:r>
      <w:r>
        <w:t xml:space="preserve"> обеспечения эффективного использования земельных участков, находящихся в государственной и муниципальной собственности, предоставленных юридическим лицам в аренду без торгов, путем проведения мониторинга реализации (размещения) инициаторами инвестиционных проектов.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hyperlink r:id="rId24" w:history="1">
        <w:r>
          <w:rPr>
            <w:rStyle w:val="a5"/>
          </w:rPr>
          <w:t>Органом-</w:t>
        </w:r>
        <w:proofErr w:type="spellStart"/>
        <w:r>
          <w:rPr>
            <w:rStyle w:val="a5"/>
          </w:rPr>
          <w:t>разработчиком</w:t>
        </w:r>
      </w:hyperlink>
      <w:r>
        <w:t>проведены</w:t>
      </w:r>
      <w:proofErr w:type="spellEnd"/>
      <w:r>
        <w:t xml:space="preserve"> публичные консультации с 22по 31 января 2016 года.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rPr>
          <w:rStyle w:val="a6"/>
        </w:rPr>
        <w:t xml:space="preserve">Данные сроки проведения публичных консультаций, по нашему мнению, не могут в достаточной степени обеспечить максимальный учет мнений всех заинтересованных лиц. Следует отметить, что на федеральном уровне </w:t>
      </w:r>
      <w:hyperlink r:id="rId25" w:history="1">
        <w:r>
          <w:rPr>
            <w:rStyle w:val="a6"/>
            <w:color w:val="0000FF"/>
            <w:u w:val="single"/>
          </w:rPr>
          <w:t xml:space="preserve">Правилами проведения </w:t>
        </w:r>
        <w:proofErr w:type="spellStart"/>
        <w:r>
          <w:rPr>
            <w:rStyle w:val="a6"/>
            <w:color w:val="0000FF"/>
            <w:u w:val="single"/>
          </w:rPr>
          <w:t>ОРВ</w:t>
        </w:r>
      </w:hyperlink>
      <w:r>
        <w:rPr>
          <w:rStyle w:val="a6"/>
        </w:rPr>
        <w:t>срок</w:t>
      </w:r>
      <w:proofErr w:type="spellEnd"/>
      <w:r>
        <w:rPr>
          <w:rStyle w:val="a6"/>
        </w:rPr>
        <w:t xml:space="preserve"> проведения публичного обсуждения в отношении проектов актов установлен в 45, 20 и 10 рабочих дней для высокой, средней и низкой степени регулирующего воздействия соответственно.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hyperlink r:id="rId26" w:history="1">
        <w:r>
          <w:rPr>
            <w:rStyle w:val="a5"/>
          </w:rPr>
          <w:t>Уполномоченным органом</w:t>
        </w:r>
      </w:hyperlink>
      <w:r>
        <w:t xml:space="preserve"> проведены дополнительные публичные консультации по проекту в период с 1 по 8 февраля 2016 года.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При проведении ОРВ использовались </w:t>
      </w:r>
      <w:r>
        <w:rPr>
          <w:rStyle w:val="a4"/>
        </w:rPr>
        <w:t>количественные методы</w:t>
      </w:r>
      <w:r>
        <w:t>: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proofErr w:type="gramStart"/>
      <w:r>
        <w:t>Оценены расходы потенциальных адресатов предлагаемого правового регулирования, связанные с обязанностью юридических лиц предоставлять бизнес-план (технико-экономического обоснования) инвестиционного проекта (от 50 до 300 тыс. руб., количественная оценка потенциальных адресатов невозможна в связи с заявительным характером предлагаемого проектом правового регулирования).</w:t>
      </w:r>
      <w:proofErr w:type="gramEnd"/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По результатам процедуры ОРВ выявлены положения, вводящие избыточные обязанности для заинтересованных лиц. Установлено, что отдельные положения проекта затрудняют подготовку документов заявителями, препятствуют получению инвесторами информации о процедуре рассмотрения заявлений, так как установлена несогласованность отдельных положений проекта, что усложняет понимание предложенного проектом правового регулирования. </w:t>
      </w:r>
    </w:p>
    <w:p w:rsidR="00100D14" w:rsidRDefault="00100D14" w:rsidP="00100D14">
      <w:pPr>
        <w:pStyle w:val="a3"/>
        <w:spacing w:before="0" w:beforeAutospacing="0" w:after="0" w:afterAutospacing="0"/>
        <w:jc w:val="both"/>
      </w:pPr>
      <w:r>
        <w:t xml:space="preserve">Замечания, изложенные в заключении, были учтены разработчиком проекта </w:t>
      </w:r>
      <w:r>
        <w:rPr>
          <w:rStyle w:val="a4"/>
        </w:rPr>
        <w:t>в полном объеме</w:t>
      </w:r>
      <w:r>
        <w:t xml:space="preserve">. Проект </w:t>
      </w:r>
      <w:r>
        <w:rPr>
          <w:rStyle w:val="a4"/>
        </w:rPr>
        <w:t>доработан</w:t>
      </w:r>
      <w:r>
        <w:t xml:space="preserve"> и представлен для прохождения ОРВ повторно. В результате уполномоченным органом подготовлено положительное заключение об ОРВ.  </w:t>
      </w:r>
    </w:p>
    <w:p w:rsidR="007C5B75" w:rsidRDefault="007C5B75" w:rsidP="00100D14">
      <w:pPr>
        <w:spacing w:after="0" w:line="240" w:lineRule="auto"/>
      </w:pPr>
      <w:bookmarkStart w:id="0" w:name="_GoBack"/>
      <w:bookmarkEnd w:id="0"/>
    </w:p>
    <w:sectPr w:rsidR="007C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33"/>
    <w:rsid w:val="00093B33"/>
    <w:rsid w:val="00100D14"/>
    <w:rsid w:val="007C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D14"/>
    <w:rPr>
      <w:b/>
      <w:bCs/>
    </w:rPr>
  </w:style>
  <w:style w:type="character" w:styleId="a5">
    <w:name w:val="Hyperlink"/>
    <w:basedOn w:val="a0"/>
    <w:uiPriority w:val="99"/>
    <w:semiHidden/>
    <w:unhideWhenUsed/>
    <w:rsid w:val="00100D14"/>
    <w:rPr>
      <w:color w:val="0000FF"/>
      <w:u w:val="single"/>
    </w:rPr>
  </w:style>
  <w:style w:type="character" w:styleId="a6">
    <w:name w:val="Emphasis"/>
    <w:basedOn w:val="a0"/>
    <w:uiPriority w:val="20"/>
    <w:qFormat/>
    <w:rsid w:val="00100D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D14"/>
    <w:rPr>
      <w:b/>
      <w:bCs/>
    </w:rPr>
  </w:style>
  <w:style w:type="character" w:styleId="a5">
    <w:name w:val="Hyperlink"/>
    <w:basedOn w:val="a0"/>
    <w:uiPriority w:val="99"/>
    <w:semiHidden/>
    <w:unhideWhenUsed/>
    <w:rsid w:val="00100D14"/>
    <w:rPr>
      <w:color w:val="0000FF"/>
      <w:u w:val="single"/>
    </w:rPr>
  </w:style>
  <w:style w:type="character" w:styleId="a6">
    <w:name w:val="Emphasis"/>
    <w:basedOn w:val="a0"/>
    <w:uiPriority w:val="20"/>
    <w:qFormat/>
    <w:rsid w:val="00100D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y.permkrai.ru/upload/412-%D0%9F%D0%9A.docx" TargetMode="External"/><Relationship Id="rId13" Type="http://schemas.openxmlformats.org/officeDocument/2006/relationships/hyperlink" Target="http://orv.gov.ru/Content/Item?n=10162" TargetMode="External"/><Relationship Id="rId18" Type="http://schemas.openxmlformats.org/officeDocument/2006/relationships/hyperlink" Target="http://www.nso.ru/sites/test.new.nso.ru/wodby_files/files/page_2488/zakon_novosibirskoy_oblasti_ot_24_noyabrya_2014_g._n_485-oz.pdf" TargetMode="External"/><Relationship Id="rId26" Type="http://schemas.openxmlformats.org/officeDocument/2006/relationships/hyperlink" Target="http://kubaninves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v.gov.ru/Content/Item?n=6377" TargetMode="External"/><Relationship Id="rId7" Type="http://schemas.openxmlformats.org/officeDocument/2006/relationships/hyperlink" Target="https://www.google.ru/url?sa=t&amp;rct=j&amp;q=&amp;esrc=s&amp;source=web&amp;cd=1&amp;ved=0ahUKEwiC4OaU5b_LAhWIJZoKHanrDM0QFggbMAA&amp;url=http%3A%2F%2Fwww.novogor.perm.ru%2Fdocument%2F11.doc&amp;usg=AFQjCNGkLoyhzDLWhfCjDQPkuqr_aN1XxQ&amp;sig2=VjmlgWSbGbwUsJxNR8N5Lg&amp;bvm=bv.116636494,d.bGs" TargetMode="External"/><Relationship Id="rId12" Type="http://schemas.openxmlformats.org/officeDocument/2006/relationships/hyperlink" Target="http://orv.gov.ru/Content/Item?n=11892" TargetMode="External"/><Relationship Id="rId17" Type="http://schemas.openxmlformats.org/officeDocument/2006/relationships/hyperlink" Target="https://www.google.ru/url?sa=t&amp;rct=j&amp;q=&amp;esrc=s&amp;source=web&amp;cd=2&amp;cad=rja&amp;uact=8&amp;ved=0ahUKEwiWs4Xb77_LAhUjSJoKHVVdDcQQFgghMAE&amp;url=http%3A%2F%2Fdizonso2.nso.ru%2FDocumentation%2FDocLib%2Forder%2520number%252031%2520of%2520date%252012.01.2012.doc&amp;usg=AFQjCNFx_P_xuHsTJhREAC738Hfn_r5knQ&amp;sig2=LwZKsddrsXmr_Es9pF-LtQ" TargetMode="External"/><Relationship Id="rId25" Type="http://schemas.openxmlformats.org/officeDocument/2006/relationships/hyperlink" Target="http://orv.gov.ru/Content/Item?n=12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rv.gov.ru/Content/Item?n=11802" TargetMode="External"/><Relationship Id="rId20" Type="http://schemas.openxmlformats.org/officeDocument/2006/relationships/hyperlink" Target="http://www.econom.ns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rv.gov.ru/Content/Item?n=11698" TargetMode="External"/><Relationship Id="rId11" Type="http://schemas.openxmlformats.org/officeDocument/2006/relationships/hyperlink" Target="http://economy.permkrai.ru/assessment/regulatory-impact-assessment/" TargetMode="External"/><Relationship Id="rId24" Type="http://schemas.openxmlformats.org/officeDocument/2006/relationships/hyperlink" Target="http://kubaninvest.ru/" TargetMode="External"/><Relationship Id="rId5" Type="http://schemas.openxmlformats.org/officeDocument/2006/relationships/hyperlink" Target="http://orv.gov.ru/Content/Item?n=11828" TargetMode="External"/><Relationship Id="rId15" Type="http://schemas.openxmlformats.org/officeDocument/2006/relationships/hyperlink" Target="http://www.minec-rd.ru/" TargetMode="External"/><Relationship Id="rId23" Type="http://schemas.openxmlformats.org/officeDocument/2006/relationships/hyperlink" Target="http://orv.gov.ru/Content/Item?n=1016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economy.permkrai.ru/%D0%9F%D1%80%D0%B8%D0%BA%D0%B0%D0%B7%20%D0%BE%D0%B1%20%D0%A3%D1%82%D0%B2%D0%B5%D1%80%D0%B6%D0%B4%D0%B5%D0%BD%D0%B8%D0%B8%20%D1%84%D0%BE%D1%80%D0%BC%20%D1%81%D0%B2%D0%BE%D0%B4%D0%BD%D0%BE%D0%B3%D0%BE%20%D0%BE%D1%82%D1%87%D1%91%D1%82%D0%B0%20%D0%B8%20%D0%B7%D0%B0%D0%BA%D0%BB%D1%8E%D1%87%D0%B5%D0%BD%D0%B8%D1%8F.doc" TargetMode="External"/><Relationship Id="rId19" Type="http://schemas.openxmlformats.org/officeDocument/2006/relationships/hyperlink" Target="http://www.nso.ru/sites/test.new.nso.ru/wodby_files/files/imce/poryadok_provedeniya_ekspertizy_normativnyh_pravovyz_aktov_novosibirskoy_oblast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nomy.permkrai.ru/upload/%D0%A3%D0%BA%D0%B0%D0%B7%20%D0%B3%D1%83%D0%B1%D0%B5%D1%80%D0%BD%D0%B0%D1%82%D0%BE%D1%80%D0%B0%20%D0%9F%D0%B5%D1%80%D0%BC%D1%81%D0%BA%D0%BE%D0%B3%D0%BE%20%D0%BA%D1%80%D0%B0%D1%8F%20%D0%BE%D1%82%2018.02.2015%20%E2%84%96%2023%20%D0%9E%D0%B1%20%D0%9E%D0%A0%D0%92%20%D0%BF%D1%80%D0%BE%D0%B5%D0%BA%D1%82%D0%BE%D0%B2%20%D0%9D%D0%9F%D0%90%20%D0%9F%D0%9A%20%D0%B8%20%D1%8D%D0%BA%D1%81%D0%BF%D0%B5%D1%80%D1%82%D0%B8%D0%B7%D0%B5%20%D0%9D%D0%9F%D0%90%20%D0%9F%D0%9A.pdf" TargetMode="External"/><Relationship Id="rId14" Type="http://schemas.openxmlformats.org/officeDocument/2006/relationships/hyperlink" Target="http://mcxrd.ru/" TargetMode="External"/><Relationship Id="rId22" Type="http://schemas.openxmlformats.org/officeDocument/2006/relationships/hyperlink" Target="http://orv.gov.ru/Content/Item?n=1189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2138</Words>
  <Characters>12190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2</cp:revision>
  <dcterms:created xsi:type="dcterms:W3CDTF">2017-03-24T13:53:00Z</dcterms:created>
  <dcterms:modified xsi:type="dcterms:W3CDTF">2017-03-24T13:54:00Z</dcterms:modified>
</cp:coreProperties>
</file>