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3E" w:rsidRPr="00BB2012" w:rsidRDefault="004B2A3E" w:rsidP="00371F47">
      <w:pPr>
        <w:spacing w:after="0"/>
        <w:jc w:val="center"/>
        <w:rPr>
          <w:rFonts w:ascii="Times New Roman" w:hAnsi="Times New Roman" w:cs="Times New Roman"/>
          <w:b/>
          <w:sz w:val="28"/>
          <w:szCs w:val="28"/>
        </w:rPr>
      </w:pPr>
      <w:r w:rsidRPr="00BB2012">
        <w:rPr>
          <w:rFonts w:ascii="Times New Roman" w:hAnsi="Times New Roman" w:cs="Times New Roman"/>
          <w:b/>
          <w:sz w:val="28"/>
          <w:szCs w:val="28"/>
        </w:rPr>
        <w:t xml:space="preserve">Годовой отчет о результатах </w:t>
      </w:r>
      <w:r w:rsidR="00125FF7" w:rsidRPr="00BB2012">
        <w:rPr>
          <w:rFonts w:ascii="Times New Roman" w:hAnsi="Times New Roman" w:cs="Times New Roman"/>
          <w:b/>
          <w:sz w:val="28"/>
          <w:szCs w:val="28"/>
        </w:rPr>
        <w:t xml:space="preserve">работы </w:t>
      </w:r>
      <w:r w:rsidRPr="00BB2012">
        <w:rPr>
          <w:rFonts w:ascii="Times New Roman" w:hAnsi="Times New Roman" w:cs="Times New Roman"/>
          <w:b/>
          <w:sz w:val="28"/>
          <w:szCs w:val="28"/>
        </w:rPr>
        <w:t>Межотраслевого совета потребителей по вопросам деятельности субъектов естественных монополий при Г</w:t>
      </w:r>
      <w:r w:rsidR="00E50710" w:rsidRPr="00BB2012">
        <w:rPr>
          <w:rFonts w:ascii="Times New Roman" w:hAnsi="Times New Roman" w:cs="Times New Roman"/>
          <w:b/>
          <w:sz w:val="28"/>
          <w:szCs w:val="28"/>
        </w:rPr>
        <w:t>лаве Республики Дагестан за 2019</w:t>
      </w:r>
      <w:r w:rsidRPr="00BB2012">
        <w:rPr>
          <w:rFonts w:ascii="Times New Roman" w:hAnsi="Times New Roman" w:cs="Times New Roman"/>
          <w:b/>
          <w:sz w:val="28"/>
          <w:szCs w:val="28"/>
        </w:rPr>
        <w:t xml:space="preserve"> год</w:t>
      </w:r>
    </w:p>
    <w:p w:rsidR="004B2A3E" w:rsidRPr="00BB2012" w:rsidRDefault="004B2A3E" w:rsidP="00371F47">
      <w:pPr>
        <w:spacing w:after="0"/>
        <w:ind w:firstLine="709"/>
        <w:jc w:val="both"/>
        <w:rPr>
          <w:rFonts w:ascii="Times New Roman" w:hAnsi="Times New Roman" w:cs="Times New Roman"/>
          <w:sz w:val="28"/>
          <w:szCs w:val="28"/>
        </w:rPr>
      </w:pPr>
    </w:p>
    <w:p w:rsidR="00940A05" w:rsidRPr="00D62A7F" w:rsidRDefault="00E50710" w:rsidP="00371F47">
      <w:pPr>
        <w:spacing w:after="0"/>
        <w:ind w:firstLine="709"/>
        <w:jc w:val="both"/>
        <w:rPr>
          <w:rFonts w:ascii="Times New Roman" w:eastAsia="Times New Roman" w:hAnsi="Times New Roman" w:cs="Times New Roman"/>
          <w:color w:val="000000"/>
          <w:sz w:val="28"/>
          <w:szCs w:val="28"/>
        </w:rPr>
      </w:pPr>
      <w:bookmarkStart w:id="0" w:name="_GoBack"/>
      <w:r w:rsidRPr="00BB2012">
        <w:rPr>
          <w:rFonts w:ascii="Times New Roman" w:hAnsi="Times New Roman" w:cs="Times New Roman"/>
          <w:sz w:val="28"/>
          <w:szCs w:val="28"/>
        </w:rPr>
        <w:t>В 2019</w:t>
      </w:r>
      <w:r w:rsidR="004B2A3E" w:rsidRPr="00BB2012">
        <w:rPr>
          <w:rFonts w:ascii="Times New Roman" w:hAnsi="Times New Roman" w:cs="Times New Roman"/>
          <w:sz w:val="28"/>
          <w:szCs w:val="28"/>
        </w:rPr>
        <w:t xml:space="preserve"> году проведены </w:t>
      </w:r>
      <w:r w:rsidR="00D62A7F">
        <w:rPr>
          <w:rFonts w:ascii="Times New Roman" w:hAnsi="Times New Roman" w:cs="Times New Roman"/>
          <w:sz w:val="28"/>
          <w:szCs w:val="28"/>
        </w:rPr>
        <w:t>4</w:t>
      </w:r>
      <w:r w:rsidR="004B2A3E" w:rsidRPr="00BB2012">
        <w:rPr>
          <w:rFonts w:ascii="Times New Roman" w:hAnsi="Times New Roman" w:cs="Times New Roman"/>
          <w:sz w:val="28"/>
          <w:szCs w:val="28"/>
        </w:rPr>
        <w:t xml:space="preserve"> заседания Межотраслевого совета потребителей по вопросам деятельности субъектов естественных монополи</w:t>
      </w:r>
      <w:r w:rsidR="00D62A7F">
        <w:rPr>
          <w:rFonts w:ascii="Times New Roman" w:hAnsi="Times New Roman" w:cs="Times New Roman"/>
          <w:sz w:val="28"/>
          <w:szCs w:val="28"/>
        </w:rPr>
        <w:t>й при Главе Республики Дагестан</w:t>
      </w:r>
      <w:r w:rsidR="004B2A3E" w:rsidRPr="00BB2012">
        <w:rPr>
          <w:rFonts w:ascii="Times New Roman" w:hAnsi="Times New Roman" w:cs="Times New Roman"/>
          <w:sz w:val="28"/>
          <w:szCs w:val="28"/>
        </w:rPr>
        <w:t>, на которых были рассмотрены вопрос</w:t>
      </w:r>
      <w:r w:rsidR="00940A05">
        <w:rPr>
          <w:rFonts w:ascii="Times New Roman" w:hAnsi="Times New Roman" w:cs="Times New Roman"/>
          <w:sz w:val="28"/>
          <w:szCs w:val="28"/>
        </w:rPr>
        <w:t>ы</w:t>
      </w:r>
      <w:r w:rsidR="008E497F" w:rsidRPr="00BB2012">
        <w:rPr>
          <w:rFonts w:ascii="Times New Roman" w:hAnsi="Times New Roman" w:cs="Times New Roman"/>
          <w:sz w:val="28"/>
          <w:szCs w:val="28"/>
        </w:rPr>
        <w:t xml:space="preserve"> тарифообразования</w:t>
      </w:r>
      <w:r w:rsidR="007237A0">
        <w:rPr>
          <w:rFonts w:ascii="Times New Roman" w:hAnsi="Times New Roman" w:cs="Times New Roman"/>
          <w:sz w:val="28"/>
          <w:szCs w:val="28"/>
        </w:rPr>
        <w:t>,</w:t>
      </w:r>
      <w:r w:rsidR="00940A05">
        <w:rPr>
          <w:rFonts w:ascii="Times New Roman" w:hAnsi="Times New Roman" w:cs="Times New Roman"/>
          <w:sz w:val="28"/>
          <w:szCs w:val="28"/>
        </w:rPr>
        <w:t xml:space="preserve"> </w:t>
      </w:r>
      <w:r w:rsidR="001D1256">
        <w:rPr>
          <w:rFonts w:ascii="Times New Roman" w:eastAsia="Times New Roman" w:hAnsi="Times New Roman" w:cs="Times New Roman"/>
          <w:color w:val="000000"/>
          <w:sz w:val="28"/>
          <w:szCs w:val="28"/>
        </w:rPr>
        <w:t xml:space="preserve"> установления</w:t>
      </w:r>
      <w:r w:rsidR="00DD2CA7" w:rsidRPr="00BB2012">
        <w:rPr>
          <w:rFonts w:ascii="Times New Roman" w:eastAsia="Times New Roman" w:hAnsi="Times New Roman" w:cs="Times New Roman"/>
          <w:color w:val="000000"/>
          <w:sz w:val="28"/>
          <w:szCs w:val="28"/>
        </w:rPr>
        <w:t xml:space="preserve"> тарифов на </w:t>
      </w:r>
      <w:r w:rsidR="00A92073" w:rsidRPr="00BB2012">
        <w:rPr>
          <w:rFonts w:ascii="Times New Roman" w:eastAsia="Times New Roman" w:hAnsi="Times New Roman" w:cs="Times New Roman"/>
          <w:color w:val="000000"/>
          <w:sz w:val="28"/>
          <w:szCs w:val="28"/>
        </w:rPr>
        <w:t>энергоносители</w:t>
      </w:r>
      <w:r w:rsidR="007237A0" w:rsidRPr="007237A0">
        <w:rPr>
          <w:rFonts w:ascii="Times New Roman" w:eastAsia="Times New Roman" w:hAnsi="Times New Roman" w:cs="Times New Roman"/>
          <w:color w:val="000000"/>
          <w:sz w:val="28"/>
          <w:szCs w:val="28"/>
        </w:rPr>
        <w:t xml:space="preserve"> </w:t>
      </w:r>
      <w:r w:rsidR="007237A0" w:rsidRPr="00BB2012">
        <w:rPr>
          <w:rFonts w:ascii="Times New Roman" w:eastAsia="Times New Roman" w:hAnsi="Times New Roman" w:cs="Times New Roman"/>
          <w:color w:val="000000"/>
          <w:sz w:val="28"/>
          <w:szCs w:val="28"/>
        </w:rPr>
        <w:t>для населения на территории Республики Дагестан на 2020 год</w:t>
      </w:r>
      <w:r w:rsidR="007237A0">
        <w:rPr>
          <w:rFonts w:ascii="Times New Roman" w:eastAsia="Times New Roman" w:hAnsi="Times New Roman" w:cs="Times New Roman"/>
          <w:color w:val="000000"/>
          <w:sz w:val="28"/>
          <w:szCs w:val="28"/>
        </w:rPr>
        <w:t>, в</w:t>
      </w:r>
      <w:r w:rsidR="001D1256">
        <w:rPr>
          <w:rFonts w:ascii="Times New Roman" w:hAnsi="Times New Roman" w:cs="Times New Roman"/>
          <w:sz w:val="28"/>
        </w:rPr>
        <w:t>ыполнения</w:t>
      </w:r>
      <w:r w:rsidR="007237A0" w:rsidRPr="00BB2012">
        <w:rPr>
          <w:rFonts w:ascii="Times New Roman" w:hAnsi="Times New Roman" w:cs="Times New Roman"/>
          <w:sz w:val="28"/>
        </w:rPr>
        <w:t xml:space="preserve"> </w:t>
      </w:r>
      <w:r w:rsidR="007237A0" w:rsidRPr="00D62A7F">
        <w:rPr>
          <w:rFonts w:ascii="Times New Roman" w:eastAsia="Times New Roman" w:hAnsi="Times New Roman" w:cs="Times New Roman"/>
          <w:color w:val="000000"/>
          <w:sz w:val="28"/>
          <w:szCs w:val="28"/>
        </w:rPr>
        <w:t>инвестиционных программ</w:t>
      </w:r>
      <w:r w:rsidR="00DD2CA7" w:rsidRPr="00BB2012">
        <w:rPr>
          <w:rFonts w:ascii="Times New Roman" w:eastAsia="Times New Roman" w:hAnsi="Times New Roman" w:cs="Times New Roman"/>
          <w:color w:val="000000"/>
          <w:sz w:val="28"/>
          <w:szCs w:val="28"/>
        </w:rPr>
        <w:t xml:space="preserve"> </w:t>
      </w:r>
      <w:r w:rsidR="007237A0" w:rsidRPr="00D62A7F">
        <w:rPr>
          <w:rFonts w:ascii="Times New Roman" w:eastAsia="Times New Roman" w:hAnsi="Times New Roman" w:cs="Times New Roman"/>
          <w:color w:val="000000"/>
          <w:sz w:val="28"/>
          <w:szCs w:val="28"/>
        </w:rPr>
        <w:t>субъектами естественных монополий.</w:t>
      </w:r>
    </w:p>
    <w:p w:rsidR="00675BC5" w:rsidRDefault="00C53FC7" w:rsidP="00D62A7F">
      <w:pPr>
        <w:spacing w:after="0"/>
        <w:ind w:firstLine="709"/>
        <w:jc w:val="both"/>
        <w:rPr>
          <w:rFonts w:ascii="Times New Roman" w:hAnsi="Times New Roman" w:cs="Times New Roman"/>
          <w:sz w:val="28"/>
          <w:szCs w:val="28"/>
        </w:rPr>
      </w:pPr>
      <w:r w:rsidRPr="00D62A7F">
        <w:rPr>
          <w:rFonts w:ascii="Times New Roman" w:eastAsia="Times New Roman" w:hAnsi="Times New Roman" w:cs="Times New Roman"/>
          <w:color w:val="000000"/>
          <w:sz w:val="28"/>
          <w:szCs w:val="28"/>
        </w:rPr>
        <w:t>Межотраслевым советом проведен анализ и оценка действующих правил и механизмов тарифообразования на услуги по передаче электрической</w:t>
      </w:r>
      <w:r w:rsidRPr="00BB2012">
        <w:rPr>
          <w:rFonts w:ascii="Times New Roman" w:hAnsi="Times New Roman" w:cs="Times New Roman"/>
          <w:sz w:val="28"/>
          <w:szCs w:val="28"/>
        </w:rPr>
        <w:t xml:space="preserve"> энергии в Республике Дагестан.</w:t>
      </w:r>
    </w:p>
    <w:bookmarkEnd w:id="0"/>
    <w:p w:rsidR="00371F47" w:rsidRPr="00BB2012" w:rsidRDefault="00371F47" w:rsidP="00371F47">
      <w:pPr>
        <w:shd w:val="clear" w:color="auto" w:fill="FFFFFF"/>
        <w:spacing w:before="240" w:after="0"/>
        <w:jc w:val="both"/>
        <w:textAlignment w:val="baseline"/>
        <w:rPr>
          <w:rFonts w:ascii="Times New Roman" w:hAnsi="Times New Roman" w:cs="Times New Roman"/>
          <w:sz w:val="28"/>
          <w:szCs w:val="28"/>
        </w:rPr>
      </w:pPr>
    </w:p>
    <w:p w:rsidR="00BB2012" w:rsidRPr="00BB2012" w:rsidRDefault="00BB2012" w:rsidP="00371F47">
      <w:pPr>
        <w:widowControl w:val="0"/>
        <w:autoSpaceDE w:val="0"/>
        <w:autoSpaceDN w:val="0"/>
        <w:adjustRightInd w:val="0"/>
        <w:spacing w:after="0"/>
        <w:ind w:firstLine="709"/>
        <w:rPr>
          <w:rFonts w:ascii="Times New Roman" w:hAnsi="Times New Roman" w:cs="Times New Roman"/>
          <w:b/>
          <w:sz w:val="28"/>
          <w:szCs w:val="28"/>
        </w:rPr>
      </w:pPr>
      <w:r w:rsidRPr="00BB2012">
        <w:rPr>
          <w:rFonts w:ascii="Times New Roman" w:hAnsi="Times New Roman" w:cs="Times New Roman"/>
          <w:b/>
          <w:sz w:val="28"/>
          <w:szCs w:val="28"/>
        </w:rPr>
        <w:t>1. Механизм тарифообразования</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Тарифы рассчитываются исходя из необходимой валовой выручки регулируемых организаций и объема оказываемых услуг (поставляемых ресурсов).</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Необходимая валовая выручка организаций включает в себя экономически обоснованные затраты на очередной период регулирования, а также учитывает результаты деятельности организаций по отдельным статьям расходов за предшествующий период.</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Тарифы на услуги по передаче электрической энергии утверждаются едиными на территории всего субъекта. При таком подходе для формирования утвержденной необходимой валовой для территориальных сетевых организаций утверждается тариф для взаиморасчетов между собой.</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В отношении гарантирующих поставщиков электроэнергии с 2020 года необходимая валовая выручка в полном объеме рассчитывается на основании метода аналогов (эталонных затрат) суть которой в том, что в зависимости количества точек поставки электрической энергии определяется необходимый объем расходов по каждой статье. При данном методе практически не учитываются результаты деятельности организаций за предшествующий период.</w:t>
      </w:r>
    </w:p>
    <w:p w:rsidR="00BB2012" w:rsidRPr="00BB2012" w:rsidRDefault="00BB2012" w:rsidP="00371F47">
      <w:pPr>
        <w:widowControl w:val="0"/>
        <w:autoSpaceDE w:val="0"/>
        <w:autoSpaceDN w:val="0"/>
        <w:adjustRightInd w:val="0"/>
        <w:spacing w:after="0"/>
        <w:ind w:firstLine="709"/>
        <w:rPr>
          <w:rFonts w:ascii="Times New Roman" w:hAnsi="Times New Roman" w:cs="Times New Roman"/>
          <w:b/>
          <w:sz w:val="28"/>
          <w:szCs w:val="28"/>
        </w:rPr>
      </w:pPr>
    </w:p>
    <w:p w:rsidR="00BB2012" w:rsidRPr="001D1256" w:rsidRDefault="00BB2012" w:rsidP="00371F47">
      <w:pPr>
        <w:widowControl w:val="0"/>
        <w:autoSpaceDE w:val="0"/>
        <w:autoSpaceDN w:val="0"/>
        <w:adjustRightInd w:val="0"/>
        <w:spacing w:after="0"/>
        <w:ind w:firstLine="709"/>
        <w:rPr>
          <w:rFonts w:ascii="Times New Roman" w:hAnsi="Times New Roman" w:cs="Times New Roman"/>
          <w:b/>
          <w:sz w:val="28"/>
          <w:szCs w:val="28"/>
        </w:rPr>
      </w:pPr>
      <w:r w:rsidRPr="00BB2012">
        <w:rPr>
          <w:rFonts w:ascii="Times New Roman" w:hAnsi="Times New Roman" w:cs="Times New Roman"/>
          <w:b/>
          <w:sz w:val="28"/>
          <w:szCs w:val="28"/>
        </w:rPr>
        <w:t>2. В части утвержденных РСТ Дагестана тарифов.</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xml:space="preserve">Республиканская служба по тарифам Республики Дагестана в рамках </w:t>
      </w:r>
      <w:r w:rsidRPr="00BB2012">
        <w:rPr>
          <w:rFonts w:ascii="Times New Roman" w:hAnsi="Times New Roman" w:cs="Times New Roman"/>
          <w:sz w:val="28"/>
          <w:szCs w:val="28"/>
        </w:rPr>
        <w:lastRenderedPageBreak/>
        <w:t>своих полномочий устанавливает и осуществляет контроль, связанный с установлением и применением цен (тарифов), предельных индексов и надбавок:</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на электрическую энергию;</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на тепловую энергию;</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на природный и сжиженный газ;</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на товары и услуги организаций коммунального комплекса;</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на топливо твердое, топливо печное бытовое и керосин;</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на транспортировку и хранение задержанных транспортных средств;</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на жизненно необходимые и важнейшие лекарственные препараты;</w:t>
      </w:r>
    </w:p>
    <w:p w:rsidR="00BB2012" w:rsidRPr="00BB2012" w:rsidRDefault="00BB2012" w:rsidP="00371F47">
      <w:pPr>
        <w:widowControl w:val="0"/>
        <w:autoSpaceDE w:val="0"/>
        <w:autoSpaceDN w:val="0"/>
        <w:adjustRightInd w:val="0"/>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на услуги по перевозке пассажиров и багажа железнодорожным транспортом в пригородном сообщении;</w:t>
      </w:r>
    </w:p>
    <w:p w:rsidR="00BB2012" w:rsidRPr="00B7349A" w:rsidRDefault="00BB2012"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Все утвержденные РСТ Дагестана тарифы приняты в рамках предельных (максимальных) индексов изменения размера вносимой гражданами платы, предельных уровней тарифов, установленных ФАС России, и в соответствии с Прогнозом социально-экономического развития РФ на 2020 год и плановый период 2021-2022гг.</w:t>
      </w:r>
    </w:p>
    <w:p w:rsidR="00371F47" w:rsidRDefault="00371F47" w:rsidP="00371F47">
      <w:pPr>
        <w:spacing w:after="0"/>
        <w:ind w:firstLine="709"/>
        <w:jc w:val="both"/>
        <w:rPr>
          <w:rFonts w:ascii="Times New Roman" w:hAnsi="Times New Roman" w:cs="Times New Roman"/>
          <w:sz w:val="28"/>
          <w:szCs w:val="28"/>
          <w:u w:val="single"/>
        </w:rPr>
      </w:pPr>
    </w:p>
    <w:p w:rsidR="00BB2012" w:rsidRPr="00B7349A" w:rsidRDefault="00BB2012" w:rsidP="00371F47">
      <w:pPr>
        <w:spacing w:after="0"/>
        <w:ind w:firstLine="709"/>
        <w:jc w:val="both"/>
        <w:rPr>
          <w:rFonts w:ascii="Times New Roman" w:hAnsi="Times New Roman" w:cs="Times New Roman"/>
          <w:sz w:val="28"/>
          <w:szCs w:val="28"/>
          <w:u w:val="single"/>
        </w:rPr>
      </w:pPr>
      <w:r w:rsidRPr="00BB2012">
        <w:rPr>
          <w:rFonts w:ascii="Times New Roman" w:hAnsi="Times New Roman" w:cs="Times New Roman"/>
          <w:sz w:val="28"/>
          <w:szCs w:val="28"/>
          <w:u w:val="single"/>
        </w:rPr>
        <w:t>Электроснабжение</w:t>
      </w:r>
    </w:p>
    <w:p w:rsidR="00BB2012" w:rsidRPr="00BB2012" w:rsidRDefault="00BB2012" w:rsidP="00371F47">
      <w:pPr>
        <w:spacing w:after="0"/>
        <w:ind w:firstLine="709"/>
        <w:jc w:val="both"/>
        <w:rPr>
          <w:rFonts w:ascii="Times New Roman" w:hAnsi="Times New Roman" w:cs="Times New Roman"/>
          <w:i/>
          <w:sz w:val="28"/>
          <w:szCs w:val="28"/>
        </w:rPr>
      </w:pPr>
      <w:r w:rsidRPr="00BB2012">
        <w:rPr>
          <w:rFonts w:ascii="Times New Roman" w:hAnsi="Times New Roman" w:cs="Times New Roman"/>
          <w:i/>
          <w:sz w:val="28"/>
          <w:szCs w:val="28"/>
        </w:rPr>
        <w:t>Тарифы на услуги по передаче электрической энергии</w:t>
      </w:r>
    </w:p>
    <w:p w:rsidR="00BB2012" w:rsidRPr="00BB2012" w:rsidRDefault="00BB2012"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Единые котловые тарифы на услуги по передаче электрической энергии по региональным сетям Республики Дагестан на 2020 год установлены в рамках предельных минимальных и максимальных уровней тарифов, утвержденных ФАС России.</w:t>
      </w:r>
    </w:p>
    <w:p w:rsidR="00BB2012" w:rsidRPr="00BB2012" w:rsidRDefault="00BB2012"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Тарифы на услуги по передаче электрической энергии по сетям Республики Дагестан для прочих потребителей, дифференцированные по уровням напряжения в сети, составили:</w:t>
      </w:r>
    </w:p>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rPr>
        <w:t xml:space="preserve">                                                                                                                                                    руб./кВтч.</w:t>
      </w:r>
    </w:p>
    <w:tbl>
      <w:tblPr>
        <w:tblW w:w="10808" w:type="dxa"/>
        <w:tblInd w:w="-635" w:type="dxa"/>
        <w:tblLayout w:type="fixed"/>
        <w:tblLook w:val="0000" w:firstRow="0" w:lastRow="0" w:firstColumn="0" w:lastColumn="0" w:noHBand="0" w:noVBand="0"/>
      </w:tblPr>
      <w:tblGrid>
        <w:gridCol w:w="10808"/>
      </w:tblGrid>
      <w:tr w:rsidR="00BB2012" w:rsidRPr="00BB2012" w:rsidTr="0039197D">
        <w:trPr>
          <w:trHeight w:val="720"/>
        </w:trPr>
        <w:tc>
          <w:tcPr>
            <w:tcW w:w="10808" w:type="dxa"/>
            <w:tcBorders>
              <w:top w:val="nil"/>
              <w:left w:val="nil"/>
              <w:bottom w:val="nil"/>
            </w:tcBorders>
            <w:vAlign w:val="center"/>
          </w:tcPr>
          <w:tbl>
            <w:tblPr>
              <w:tblW w:w="9639" w:type="dxa"/>
              <w:tblInd w:w="630" w:type="dxa"/>
              <w:tblLayout w:type="fixed"/>
              <w:tblLook w:val="0000" w:firstRow="0" w:lastRow="0" w:firstColumn="0" w:lastColumn="0" w:noHBand="0" w:noVBand="0"/>
            </w:tblPr>
            <w:tblGrid>
              <w:gridCol w:w="3375"/>
              <w:gridCol w:w="736"/>
              <w:gridCol w:w="709"/>
              <w:gridCol w:w="709"/>
              <w:gridCol w:w="850"/>
              <w:gridCol w:w="851"/>
              <w:gridCol w:w="708"/>
              <w:gridCol w:w="851"/>
              <w:gridCol w:w="850"/>
            </w:tblGrid>
            <w:tr w:rsidR="00BB2012" w:rsidRPr="00BB2012" w:rsidTr="0039197D">
              <w:trPr>
                <w:trHeight w:val="315"/>
              </w:trPr>
              <w:tc>
                <w:tcPr>
                  <w:tcW w:w="3375" w:type="dxa"/>
                  <w:vMerge w:val="restart"/>
                  <w:tcBorders>
                    <w:top w:val="single" w:sz="4" w:space="0" w:color="auto"/>
                    <w:left w:val="single" w:sz="4" w:space="0" w:color="auto"/>
                    <w:bottom w:val="single" w:sz="4" w:space="0" w:color="auto"/>
                    <w:right w:val="single" w:sz="4" w:space="0" w:color="auto"/>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p>
              </w:tc>
              <w:tc>
                <w:tcPr>
                  <w:tcW w:w="3004" w:type="dxa"/>
                  <w:gridSpan w:val="4"/>
                  <w:tcBorders>
                    <w:top w:val="single" w:sz="3" w:space="0" w:color="000000"/>
                    <w:left w:val="single" w:sz="4" w:space="0" w:color="auto"/>
                    <w:bottom w:val="single" w:sz="3" w:space="0" w:color="000000"/>
                    <w:right w:val="single" w:sz="3" w:space="0" w:color="000000"/>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с 01.01.2020г. по 30.07.2020г.</w:t>
                  </w:r>
                </w:p>
              </w:tc>
              <w:tc>
                <w:tcPr>
                  <w:tcW w:w="3260" w:type="dxa"/>
                  <w:gridSpan w:val="4"/>
                  <w:tcBorders>
                    <w:top w:val="single" w:sz="3" w:space="0" w:color="000000"/>
                    <w:left w:val="nil"/>
                    <w:bottom w:val="single" w:sz="3" w:space="0" w:color="000000"/>
                    <w:right w:val="single" w:sz="4" w:space="0" w:color="auto"/>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с 01.07.2020г. по 31.12.2020г.</w:t>
                  </w:r>
                </w:p>
              </w:tc>
            </w:tr>
            <w:tr w:rsidR="00BB2012" w:rsidRPr="00BB2012" w:rsidTr="0039197D">
              <w:trPr>
                <w:trHeight w:val="419"/>
              </w:trPr>
              <w:tc>
                <w:tcPr>
                  <w:tcW w:w="337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012" w:rsidRPr="00BB2012" w:rsidRDefault="00BB2012" w:rsidP="00371F47">
                  <w:pPr>
                    <w:autoSpaceDE w:val="0"/>
                    <w:autoSpaceDN w:val="0"/>
                    <w:adjustRightInd w:val="0"/>
                    <w:spacing w:after="0"/>
                    <w:rPr>
                      <w:rFonts w:ascii="Times New Roman" w:hAnsi="Times New Roman" w:cs="Times New Roman"/>
                    </w:rPr>
                  </w:pPr>
                </w:p>
              </w:tc>
              <w:tc>
                <w:tcPr>
                  <w:tcW w:w="736" w:type="dxa"/>
                  <w:tcBorders>
                    <w:top w:val="nil"/>
                    <w:left w:val="single" w:sz="4" w:space="0" w:color="auto"/>
                    <w:bottom w:val="single" w:sz="3" w:space="0" w:color="000000"/>
                    <w:right w:val="single" w:sz="3" w:space="0" w:color="000000"/>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ВН</w:t>
                  </w:r>
                </w:p>
              </w:tc>
              <w:tc>
                <w:tcPr>
                  <w:tcW w:w="709" w:type="dxa"/>
                  <w:tcBorders>
                    <w:top w:val="nil"/>
                    <w:left w:val="nil"/>
                    <w:bottom w:val="single" w:sz="3" w:space="0" w:color="000000"/>
                    <w:right w:val="single" w:sz="3" w:space="0" w:color="000000"/>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СН-1</w:t>
                  </w:r>
                </w:p>
              </w:tc>
              <w:tc>
                <w:tcPr>
                  <w:tcW w:w="709" w:type="dxa"/>
                  <w:tcBorders>
                    <w:top w:val="nil"/>
                    <w:left w:val="nil"/>
                    <w:bottom w:val="single" w:sz="3" w:space="0" w:color="000000"/>
                    <w:right w:val="single" w:sz="3" w:space="0" w:color="000000"/>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СН-2</w:t>
                  </w:r>
                </w:p>
              </w:tc>
              <w:tc>
                <w:tcPr>
                  <w:tcW w:w="850" w:type="dxa"/>
                  <w:tcBorders>
                    <w:top w:val="nil"/>
                    <w:left w:val="nil"/>
                    <w:bottom w:val="single" w:sz="3" w:space="0" w:color="000000"/>
                    <w:right w:val="single" w:sz="3" w:space="0" w:color="000000"/>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НН</w:t>
                  </w:r>
                </w:p>
              </w:tc>
              <w:tc>
                <w:tcPr>
                  <w:tcW w:w="851" w:type="dxa"/>
                  <w:tcBorders>
                    <w:top w:val="nil"/>
                    <w:left w:val="nil"/>
                    <w:bottom w:val="single" w:sz="3" w:space="0" w:color="000000"/>
                    <w:right w:val="single" w:sz="3" w:space="0" w:color="000000"/>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ВН</w:t>
                  </w:r>
                </w:p>
              </w:tc>
              <w:tc>
                <w:tcPr>
                  <w:tcW w:w="708" w:type="dxa"/>
                  <w:tcBorders>
                    <w:top w:val="nil"/>
                    <w:left w:val="nil"/>
                    <w:bottom w:val="single" w:sz="3" w:space="0" w:color="000000"/>
                    <w:right w:val="single" w:sz="3" w:space="0" w:color="000000"/>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СН-1</w:t>
                  </w:r>
                </w:p>
              </w:tc>
              <w:tc>
                <w:tcPr>
                  <w:tcW w:w="851" w:type="dxa"/>
                  <w:tcBorders>
                    <w:top w:val="nil"/>
                    <w:left w:val="nil"/>
                    <w:bottom w:val="single" w:sz="3" w:space="0" w:color="000000"/>
                    <w:right w:val="single" w:sz="3" w:space="0" w:color="000000"/>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СН-2</w:t>
                  </w:r>
                </w:p>
              </w:tc>
              <w:tc>
                <w:tcPr>
                  <w:tcW w:w="850" w:type="dxa"/>
                  <w:tcBorders>
                    <w:top w:val="nil"/>
                    <w:left w:val="nil"/>
                    <w:bottom w:val="single" w:sz="3" w:space="0" w:color="000000"/>
                    <w:right w:val="single" w:sz="4" w:space="0" w:color="auto"/>
                  </w:tcBorders>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color w:val="000000"/>
                    </w:rPr>
                    <w:t>НН</w:t>
                  </w:r>
                </w:p>
              </w:tc>
            </w:tr>
            <w:tr w:rsidR="00BB2012" w:rsidRPr="00BB2012" w:rsidTr="0039197D">
              <w:trPr>
                <w:trHeight w:val="342"/>
              </w:trPr>
              <w:tc>
                <w:tcPr>
                  <w:tcW w:w="3375" w:type="dxa"/>
                  <w:tcBorders>
                    <w:top w:val="single" w:sz="4" w:space="0" w:color="auto"/>
                    <w:left w:val="single" w:sz="4" w:space="0" w:color="auto"/>
                    <w:bottom w:val="single" w:sz="4" w:space="0" w:color="auto"/>
                    <w:right w:val="single" w:sz="4" w:space="0" w:color="auto"/>
                  </w:tcBorders>
                  <w:shd w:val="clear" w:color="000000" w:fill="FFFFFF"/>
                  <w:vAlign w:val="center"/>
                </w:tcPr>
                <w:p w:rsidR="00BB2012" w:rsidRPr="00BB2012" w:rsidRDefault="00BB2012" w:rsidP="00371F47">
                  <w:pPr>
                    <w:autoSpaceDE w:val="0"/>
                    <w:autoSpaceDN w:val="0"/>
                    <w:adjustRightInd w:val="0"/>
                    <w:spacing w:after="0"/>
                    <w:rPr>
                      <w:rFonts w:ascii="Times New Roman" w:hAnsi="Times New Roman" w:cs="Times New Roman"/>
                      <w:color w:val="000000"/>
                    </w:rPr>
                  </w:pPr>
                  <w:r w:rsidRPr="00BB2012">
                    <w:rPr>
                      <w:rFonts w:ascii="Times New Roman" w:hAnsi="Times New Roman" w:cs="Times New Roman"/>
                      <w:color w:val="000000"/>
                    </w:rPr>
                    <w:t>Единые (котловые) тарифы на услуги по передаче электрической энергии по сетям Республики Дагестан, поставляемой прочим потребителям</w:t>
                  </w:r>
                </w:p>
              </w:tc>
              <w:tc>
                <w:tcPr>
                  <w:tcW w:w="736" w:type="dxa"/>
                  <w:tcBorders>
                    <w:top w:val="nil"/>
                    <w:left w:val="single" w:sz="4" w:space="0" w:color="auto"/>
                    <w:bottom w:val="single" w:sz="3" w:space="0" w:color="000000"/>
                    <w:right w:val="single" w:sz="3" w:space="0" w:color="000000"/>
                  </w:tcBorders>
                  <w:shd w:val="clear" w:color="000000" w:fill="FFFFFF"/>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sz w:val="19"/>
                      <w:szCs w:val="19"/>
                    </w:rPr>
                    <w:t>1,11</w:t>
                  </w:r>
                </w:p>
              </w:tc>
              <w:tc>
                <w:tcPr>
                  <w:tcW w:w="709" w:type="dxa"/>
                  <w:tcBorders>
                    <w:top w:val="nil"/>
                    <w:left w:val="nil"/>
                    <w:bottom w:val="single" w:sz="3" w:space="0" w:color="000000"/>
                    <w:right w:val="single" w:sz="3" w:space="0" w:color="000000"/>
                  </w:tcBorders>
                  <w:shd w:val="clear" w:color="000000" w:fill="FFFFFF"/>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sz w:val="19"/>
                      <w:szCs w:val="19"/>
                    </w:rPr>
                    <w:t>1,46</w:t>
                  </w:r>
                </w:p>
              </w:tc>
              <w:tc>
                <w:tcPr>
                  <w:tcW w:w="709" w:type="dxa"/>
                  <w:tcBorders>
                    <w:top w:val="nil"/>
                    <w:left w:val="nil"/>
                    <w:bottom w:val="single" w:sz="3" w:space="0" w:color="000000"/>
                    <w:right w:val="single" w:sz="3" w:space="0" w:color="000000"/>
                  </w:tcBorders>
                  <w:shd w:val="clear" w:color="000000" w:fill="FFFFFF"/>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sz w:val="19"/>
                      <w:szCs w:val="19"/>
                    </w:rPr>
                    <w:t>1,86</w:t>
                  </w:r>
                </w:p>
              </w:tc>
              <w:tc>
                <w:tcPr>
                  <w:tcW w:w="850" w:type="dxa"/>
                  <w:tcBorders>
                    <w:top w:val="nil"/>
                    <w:left w:val="nil"/>
                    <w:bottom w:val="single" w:sz="3" w:space="0" w:color="000000"/>
                    <w:right w:val="single" w:sz="3" w:space="0" w:color="000000"/>
                  </w:tcBorders>
                  <w:shd w:val="clear" w:color="000000" w:fill="FFFFFF"/>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sz w:val="19"/>
                      <w:szCs w:val="19"/>
                    </w:rPr>
                    <w:t>1,71</w:t>
                  </w:r>
                </w:p>
              </w:tc>
              <w:tc>
                <w:tcPr>
                  <w:tcW w:w="851" w:type="dxa"/>
                  <w:tcBorders>
                    <w:top w:val="nil"/>
                    <w:left w:val="nil"/>
                    <w:bottom w:val="single" w:sz="3" w:space="0" w:color="000000"/>
                    <w:right w:val="single" w:sz="3" w:space="0" w:color="000000"/>
                  </w:tcBorders>
                  <w:shd w:val="clear" w:color="000000" w:fill="FFFFFF"/>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sz w:val="19"/>
                      <w:szCs w:val="19"/>
                    </w:rPr>
                    <w:t>1,27</w:t>
                  </w:r>
                </w:p>
              </w:tc>
              <w:tc>
                <w:tcPr>
                  <w:tcW w:w="708" w:type="dxa"/>
                  <w:tcBorders>
                    <w:top w:val="nil"/>
                    <w:left w:val="nil"/>
                    <w:bottom w:val="single" w:sz="3" w:space="0" w:color="000000"/>
                    <w:right w:val="single" w:sz="3" w:space="0" w:color="000000"/>
                  </w:tcBorders>
                  <w:shd w:val="clear" w:color="000000" w:fill="FFFFFF"/>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sz w:val="19"/>
                      <w:szCs w:val="19"/>
                    </w:rPr>
                    <w:t>1,67</w:t>
                  </w:r>
                </w:p>
              </w:tc>
              <w:tc>
                <w:tcPr>
                  <w:tcW w:w="851" w:type="dxa"/>
                  <w:tcBorders>
                    <w:top w:val="nil"/>
                    <w:left w:val="nil"/>
                    <w:bottom w:val="single" w:sz="3" w:space="0" w:color="000000"/>
                    <w:right w:val="single" w:sz="3" w:space="0" w:color="000000"/>
                  </w:tcBorders>
                  <w:shd w:val="clear" w:color="000000" w:fill="FFFFFF"/>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sz w:val="19"/>
                      <w:szCs w:val="19"/>
                    </w:rPr>
                    <w:t>2,13</w:t>
                  </w:r>
                </w:p>
              </w:tc>
              <w:tc>
                <w:tcPr>
                  <w:tcW w:w="850" w:type="dxa"/>
                  <w:tcBorders>
                    <w:top w:val="nil"/>
                    <w:left w:val="nil"/>
                    <w:bottom w:val="single" w:sz="3" w:space="0" w:color="000000"/>
                    <w:right w:val="single" w:sz="4" w:space="0" w:color="auto"/>
                  </w:tcBorders>
                  <w:shd w:val="clear" w:color="000000" w:fill="FFFFFF"/>
                  <w:vAlign w:val="center"/>
                </w:tcPr>
                <w:p w:rsidR="00BB2012" w:rsidRPr="00BB2012" w:rsidRDefault="00BB2012" w:rsidP="00371F47">
                  <w:pPr>
                    <w:autoSpaceDE w:val="0"/>
                    <w:autoSpaceDN w:val="0"/>
                    <w:adjustRightInd w:val="0"/>
                    <w:spacing w:after="0"/>
                    <w:jc w:val="center"/>
                    <w:rPr>
                      <w:rFonts w:ascii="Times New Roman" w:hAnsi="Times New Roman" w:cs="Times New Roman"/>
                    </w:rPr>
                  </w:pPr>
                  <w:r w:rsidRPr="00BB2012">
                    <w:rPr>
                      <w:rFonts w:ascii="Times New Roman" w:hAnsi="Times New Roman" w:cs="Times New Roman"/>
                      <w:sz w:val="19"/>
                      <w:szCs w:val="19"/>
                    </w:rPr>
                    <w:t>1,97</w:t>
                  </w:r>
                </w:p>
              </w:tc>
            </w:tr>
          </w:tbl>
          <w:p w:rsidR="00BB2012" w:rsidRPr="00BB2012" w:rsidRDefault="00BB2012" w:rsidP="00371F47">
            <w:pPr>
              <w:tabs>
                <w:tab w:val="left" w:pos="10592"/>
              </w:tabs>
              <w:autoSpaceDE w:val="0"/>
              <w:autoSpaceDN w:val="0"/>
              <w:adjustRightInd w:val="0"/>
              <w:spacing w:after="0"/>
              <w:ind w:right="152"/>
              <w:rPr>
                <w:rFonts w:ascii="Times New Roman" w:hAnsi="Times New Roman" w:cs="Times New Roman"/>
                <w:sz w:val="24"/>
                <w:szCs w:val="24"/>
              </w:rPr>
            </w:pPr>
          </w:p>
        </w:tc>
      </w:tr>
    </w:tbl>
    <w:p w:rsidR="00BB2012" w:rsidRPr="00BB2012" w:rsidRDefault="00BB2012" w:rsidP="00371F47">
      <w:pPr>
        <w:autoSpaceDE w:val="0"/>
        <w:autoSpaceDN w:val="0"/>
        <w:adjustRightInd w:val="0"/>
        <w:spacing w:after="0"/>
        <w:ind w:firstLine="708"/>
        <w:jc w:val="both"/>
        <w:rPr>
          <w:rFonts w:ascii="Times New Roman" w:hAnsi="Times New Roman" w:cs="Times New Roman"/>
          <w:i/>
          <w:sz w:val="28"/>
          <w:szCs w:val="28"/>
        </w:rPr>
      </w:pPr>
    </w:p>
    <w:p w:rsidR="00BB2012" w:rsidRPr="00BB2012" w:rsidRDefault="00BB2012" w:rsidP="00371F47">
      <w:pPr>
        <w:autoSpaceDE w:val="0"/>
        <w:autoSpaceDN w:val="0"/>
        <w:adjustRightInd w:val="0"/>
        <w:spacing w:after="0"/>
        <w:ind w:firstLine="708"/>
        <w:jc w:val="both"/>
        <w:rPr>
          <w:rFonts w:ascii="Times New Roman" w:hAnsi="Times New Roman" w:cs="Times New Roman"/>
          <w:i/>
          <w:sz w:val="28"/>
          <w:szCs w:val="28"/>
        </w:rPr>
      </w:pPr>
      <w:r w:rsidRPr="00BB2012">
        <w:rPr>
          <w:rFonts w:ascii="Times New Roman" w:hAnsi="Times New Roman" w:cs="Times New Roman"/>
          <w:i/>
          <w:sz w:val="28"/>
          <w:szCs w:val="28"/>
        </w:rPr>
        <w:t xml:space="preserve">Сбытовые надбавки гарантирующего поставщика электрической энергии </w:t>
      </w:r>
    </w:p>
    <w:p w:rsidR="00BB2012" w:rsidRPr="00BB2012" w:rsidRDefault="00BB2012" w:rsidP="00371F47">
      <w:pPr>
        <w:spacing w:after="0"/>
        <w:ind w:firstLine="709"/>
        <w:jc w:val="both"/>
        <w:rPr>
          <w:rFonts w:ascii="Times New Roman" w:eastAsia="Calibri" w:hAnsi="Times New Roman" w:cs="Times New Roman"/>
          <w:sz w:val="28"/>
          <w:szCs w:val="28"/>
          <w:lang w:eastAsia="en-US"/>
        </w:rPr>
      </w:pPr>
      <w:r w:rsidRPr="00BB2012">
        <w:rPr>
          <w:rFonts w:ascii="Times New Roman" w:hAnsi="Times New Roman" w:cs="Times New Roman"/>
          <w:sz w:val="28"/>
          <w:szCs w:val="28"/>
        </w:rPr>
        <w:lastRenderedPageBreak/>
        <w:t xml:space="preserve">Регулирование сбытовых надбавок гарантирующего поставщика на 2020 год осуществлялось в соответствии с </w:t>
      </w:r>
      <w:r w:rsidRPr="00BB2012">
        <w:rPr>
          <w:rFonts w:ascii="Times New Roman" w:eastAsia="Calibri" w:hAnsi="Times New Roman" w:cs="Times New Roman"/>
          <w:sz w:val="28"/>
          <w:szCs w:val="28"/>
          <w:lang w:eastAsia="en-US"/>
        </w:rPr>
        <w:t xml:space="preserve">приказом ФАС России от 21.11.2017г. №1554/17 </w:t>
      </w:r>
      <w:r w:rsidRPr="00BB2012">
        <w:rPr>
          <w:rFonts w:ascii="Times New Roman" w:hAnsi="Times New Roman" w:cs="Times New Roman"/>
          <w:sz w:val="28"/>
          <w:szCs w:val="28"/>
        </w:rPr>
        <w:t>«Об утверждении Методических указаний по расчету сбытовых надбавок гарантирующих поставщиков с использованием метода сравнения аналогов»</w:t>
      </w:r>
      <w:r w:rsidRPr="00BB2012">
        <w:rPr>
          <w:rFonts w:ascii="Times New Roman" w:eastAsia="Calibri" w:hAnsi="Times New Roman" w:cs="Times New Roman"/>
          <w:sz w:val="28"/>
          <w:szCs w:val="28"/>
          <w:lang w:eastAsia="en-US"/>
        </w:rPr>
        <w:t>.</w:t>
      </w:r>
    </w:p>
    <w:p w:rsidR="00BB2012" w:rsidRPr="00BB2012" w:rsidRDefault="00BB2012" w:rsidP="00371F47">
      <w:pPr>
        <w:autoSpaceDE w:val="0"/>
        <w:autoSpaceDN w:val="0"/>
        <w:adjustRightInd w:val="0"/>
        <w:spacing w:after="0"/>
        <w:ind w:firstLine="708"/>
        <w:jc w:val="both"/>
        <w:rPr>
          <w:rFonts w:ascii="Times New Roman" w:hAnsi="Times New Roman" w:cs="Times New Roman"/>
          <w:sz w:val="28"/>
          <w:szCs w:val="28"/>
        </w:rPr>
      </w:pPr>
      <w:r w:rsidRPr="00BB2012">
        <w:rPr>
          <w:rFonts w:ascii="Times New Roman" w:hAnsi="Times New Roman" w:cs="Times New Roman"/>
          <w:sz w:val="28"/>
          <w:szCs w:val="28"/>
        </w:rPr>
        <w:t>РСТ Дагестана на 2020 год установлен размер сбытовых надбавок гарантирующего поставщика ПАО «ДЭСК» с дифференциацией по группам (подгруппам) потребителей в следующих размерах:</w:t>
      </w:r>
    </w:p>
    <w:p w:rsidR="00BB2012" w:rsidRPr="00BB2012" w:rsidRDefault="00BB2012" w:rsidP="00371F47">
      <w:pPr>
        <w:autoSpaceDE w:val="0"/>
        <w:autoSpaceDN w:val="0"/>
        <w:adjustRightInd w:val="0"/>
        <w:spacing w:after="0"/>
        <w:ind w:firstLine="709"/>
        <w:jc w:val="both"/>
        <w:rPr>
          <w:rFonts w:ascii="Times New Roman" w:hAnsi="Times New Roman" w:cs="Times New Roman"/>
        </w:rPr>
      </w:pPr>
    </w:p>
    <w:p w:rsidR="00BB2012" w:rsidRPr="00BB2012" w:rsidRDefault="00BB2012" w:rsidP="00371F47">
      <w:pPr>
        <w:autoSpaceDE w:val="0"/>
        <w:autoSpaceDN w:val="0"/>
        <w:adjustRightInd w:val="0"/>
        <w:spacing w:after="0"/>
        <w:ind w:firstLine="709"/>
        <w:jc w:val="center"/>
        <w:rPr>
          <w:rFonts w:ascii="Times New Roman" w:hAnsi="Times New Roman" w:cs="Times New Roman"/>
        </w:rPr>
      </w:pPr>
      <w:r w:rsidRPr="00BB2012">
        <w:rPr>
          <w:rFonts w:ascii="Times New Roman" w:hAnsi="Times New Roman" w:cs="Times New Roman"/>
          <w:noProof/>
          <w:sz w:val="24"/>
          <w:szCs w:val="24"/>
        </w:rPr>
        <w:drawing>
          <wp:inline distT="0" distB="0" distL="0" distR="0" wp14:anchorId="60881E9B" wp14:editId="610B18F1">
            <wp:extent cx="6120130" cy="2177574"/>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177574"/>
                    </a:xfrm>
                    <a:prstGeom prst="rect">
                      <a:avLst/>
                    </a:prstGeom>
                    <a:noFill/>
                    <a:ln>
                      <a:noFill/>
                    </a:ln>
                  </pic:spPr>
                </pic:pic>
              </a:graphicData>
            </a:graphic>
          </wp:inline>
        </w:drawing>
      </w:r>
    </w:p>
    <w:p w:rsidR="00BB2012" w:rsidRPr="00BB2012" w:rsidRDefault="00BB2012" w:rsidP="00371F47">
      <w:pPr>
        <w:autoSpaceDE w:val="0"/>
        <w:autoSpaceDN w:val="0"/>
        <w:adjustRightInd w:val="0"/>
        <w:spacing w:after="0"/>
        <w:ind w:firstLine="709"/>
        <w:jc w:val="both"/>
        <w:rPr>
          <w:rFonts w:ascii="Times New Roman" w:hAnsi="Times New Roman" w:cs="Times New Roman"/>
        </w:rPr>
      </w:pPr>
    </w:p>
    <w:p w:rsidR="00BB2012" w:rsidRPr="00BB2012" w:rsidRDefault="00BB2012" w:rsidP="00371F47">
      <w:pPr>
        <w:autoSpaceDE w:val="0"/>
        <w:autoSpaceDN w:val="0"/>
        <w:adjustRightInd w:val="0"/>
        <w:spacing w:after="0"/>
        <w:ind w:firstLine="709"/>
        <w:jc w:val="both"/>
        <w:rPr>
          <w:rFonts w:ascii="Times New Roman" w:hAnsi="Times New Roman" w:cs="Times New Roman"/>
          <w:i/>
          <w:sz w:val="28"/>
          <w:szCs w:val="28"/>
        </w:rPr>
      </w:pPr>
      <w:r w:rsidRPr="00BB2012">
        <w:rPr>
          <w:rFonts w:ascii="Times New Roman" w:hAnsi="Times New Roman" w:cs="Times New Roman"/>
          <w:i/>
          <w:sz w:val="28"/>
          <w:szCs w:val="28"/>
        </w:rPr>
        <w:t>Тарифы на электрическую энергию для населения</w:t>
      </w:r>
    </w:p>
    <w:p w:rsidR="00BB2012" w:rsidRPr="00BB2012" w:rsidRDefault="00DA247E" w:rsidP="00371F47">
      <w:pPr>
        <w:shd w:val="clear" w:color="auto" w:fill="FFFFFF"/>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00BB2012" w:rsidRPr="00BB2012">
        <w:rPr>
          <w:rFonts w:ascii="Times New Roman" w:eastAsia="Calibri" w:hAnsi="Times New Roman" w:cs="Times New Roman"/>
          <w:sz w:val="28"/>
          <w:szCs w:val="28"/>
        </w:rPr>
        <w:t>арифы на электрическую энергию, поставляемую населению республики, на первое полугодие 2020 года установлены в размере 2,58 руб./кВтч, т.е. на уровне декабря 2019 года, а на второе полугодие 2020 года – 2,70 руб./кВтч. Рост тарифов с 1 июля 2020 г. относительно первого полугодия 2020 года составит 104,65%.</w:t>
      </w:r>
    </w:p>
    <w:p w:rsidR="00BB2012" w:rsidRPr="00BB2012" w:rsidRDefault="00BB2012" w:rsidP="00371F47">
      <w:pPr>
        <w:shd w:val="clear" w:color="auto" w:fill="FFFFFF"/>
        <w:spacing w:after="0"/>
        <w:ind w:firstLine="709"/>
        <w:jc w:val="both"/>
        <w:rPr>
          <w:rFonts w:ascii="Times New Roman" w:eastAsia="Calibri" w:hAnsi="Times New Roman" w:cs="Times New Roman"/>
          <w:sz w:val="28"/>
          <w:szCs w:val="28"/>
        </w:rPr>
      </w:pPr>
      <w:r w:rsidRPr="00BB2012">
        <w:rPr>
          <w:rFonts w:ascii="Times New Roman" w:eastAsia="Calibri" w:hAnsi="Times New Roman" w:cs="Times New Roman"/>
          <w:sz w:val="28"/>
          <w:szCs w:val="28"/>
        </w:rPr>
        <w:t>Тарифы на электрическую энергию для населения Республики Дагестан на 2020 год утверждены в рамках предельных уровней тарифов, утвержденных приказом ФАС России от 11.10.2019г. № 1338/19.</w:t>
      </w:r>
    </w:p>
    <w:p w:rsidR="00BB2012" w:rsidRPr="00BB2012" w:rsidRDefault="00BB2012" w:rsidP="00371F47">
      <w:pPr>
        <w:shd w:val="clear" w:color="auto" w:fill="FFFFFF"/>
        <w:spacing w:after="0"/>
        <w:ind w:firstLine="709"/>
        <w:jc w:val="both"/>
        <w:rPr>
          <w:rFonts w:ascii="Times New Roman" w:eastAsia="Calibri" w:hAnsi="Times New Roman" w:cs="Times New Roman"/>
          <w:sz w:val="28"/>
          <w:szCs w:val="28"/>
        </w:rPr>
      </w:pPr>
      <w:r w:rsidRPr="00BB2012">
        <w:rPr>
          <w:rFonts w:ascii="Times New Roman" w:eastAsia="Calibri" w:hAnsi="Times New Roman" w:cs="Times New Roman"/>
          <w:sz w:val="28"/>
          <w:szCs w:val="28"/>
        </w:rPr>
        <w:t>В соответствии с пунктом 71 Основ ценообразования для населения, проживающего в городских населенных пунктах в домах, оборудованных в установленном порядке стаци</w:t>
      </w:r>
      <w:r w:rsidR="00F34B6B">
        <w:rPr>
          <w:rFonts w:ascii="Times New Roman" w:eastAsia="Calibri" w:hAnsi="Times New Roman" w:cs="Times New Roman"/>
          <w:sz w:val="28"/>
          <w:szCs w:val="28"/>
        </w:rPr>
        <w:t>онарными электроплитами для пище</w:t>
      </w:r>
      <w:r w:rsidRPr="00BB2012">
        <w:rPr>
          <w:rFonts w:ascii="Times New Roman" w:eastAsia="Calibri" w:hAnsi="Times New Roman" w:cs="Times New Roman"/>
          <w:sz w:val="28"/>
          <w:szCs w:val="28"/>
        </w:rPr>
        <w:t>приготовления и (или) электроотопительными установками, проживающего в сельских населенных пунктах, а также для всех категорий потребителей, приравненных к населению утверждены тарифы с учетом понижающего коэффициента 0,7.</w:t>
      </w:r>
    </w:p>
    <w:p w:rsidR="00BB2012" w:rsidRPr="00BB2012" w:rsidRDefault="00BB2012" w:rsidP="00371F47">
      <w:pPr>
        <w:autoSpaceDE w:val="0"/>
        <w:autoSpaceDN w:val="0"/>
        <w:adjustRightInd w:val="0"/>
        <w:spacing w:after="0"/>
        <w:jc w:val="both"/>
        <w:rPr>
          <w:rFonts w:ascii="Times New Roman" w:hAnsi="Times New Roman" w:cs="Times New Roman"/>
          <w:i/>
          <w:sz w:val="28"/>
          <w:szCs w:val="28"/>
        </w:rPr>
      </w:pPr>
    </w:p>
    <w:p w:rsidR="00BB2012" w:rsidRPr="00BB2012" w:rsidRDefault="00BB2012" w:rsidP="00371F47">
      <w:pPr>
        <w:autoSpaceDE w:val="0"/>
        <w:autoSpaceDN w:val="0"/>
        <w:adjustRightInd w:val="0"/>
        <w:spacing w:after="0"/>
        <w:ind w:firstLine="709"/>
        <w:jc w:val="both"/>
        <w:rPr>
          <w:rFonts w:ascii="Times New Roman" w:hAnsi="Times New Roman" w:cs="Times New Roman"/>
          <w:i/>
          <w:sz w:val="28"/>
          <w:szCs w:val="28"/>
        </w:rPr>
      </w:pPr>
      <w:r w:rsidRPr="00BB2012">
        <w:rPr>
          <w:rFonts w:ascii="Times New Roman" w:hAnsi="Times New Roman" w:cs="Times New Roman"/>
          <w:i/>
          <w:sz w:val="28"/>
          <w:szCs w:val="28"/>
        </w:rPr>
        <w:t>Плата за технологическое присоединение к электрическим сетям</w:t>
      </w:r>
    </w:p>
    <w:p w:rsidR="00BB2012" w:rsidRPr="00BB2012" w:rsidRDefault="001D1256" w:rsidP="00371F4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Согласно Методическим указаниям</w:t>
      </w:r>
      <w:r w:rsidR="00BB2012" w:rsidRPr="00BB2012">
        <w:rPr>
          <w:rFonts w:ascii="Times New Roman" w:hAnsi="Times New Roman" w:cs="Times New Roman"/>
          <w:sz w:val="28"/>
          <w:szCs w:val="28"/>
        </w:rPr>
        <w:t xml:space="preserve"> по определению размера платы за технологическое присоединение к электрическим сетям, утвержденных приказом ФАС России от 29.08.2017г. №1135/17, установлена плата за технологическое присоединение к территориальным электрическим сетям Республики Дагестан, в отношении которых осуществляется государственное регулирование тарифов на 2020 год посредством применения единых стандартизированных тарифных ставок  и посредством применения формул платы.</w:t>
      </w:r>
    </w:p>
    <w:p w:rsidR="00BB2012" w:rsidRPr="00BB2012" w:rsidRDefault="00BB2012" w:rsidP="00371F47">
      <w:pPr>
        <w:spacing w:after="0"/>
        <w:jc w:val="both"/>
        <w:rPr>
          <w:rFonts w:ascii="Times New Roman" w:eastAsia="Calibri" w:hAnsi="Times New Roman" w:cs="Times New Roman"/>
          <w:sz w:val="28"/>
          <w:szCs w:val="28"/>
          <w:lang w:eastAsia="en-US"/>
        </w:rPr>
      </w:pPr>
    </w:p>
    <w:p w:rsidR="00BB2012" w:rsidRPr="00BB2012" w:rsidRDefault="00BB2012" w:rsidP="00371F47">
      <w:pPr>
        <w:tabs>
          <w:tab w:val="left" w:pos="8222"/>
        </w:tabs>
        <w:spacing w:after="0"/>
        <w:ind w:firstLine="709"/>
        <w:jc w:val="both"/>
        <w:rPr>
          <w:rFonts w:ascii="Times New Roman" w:hAnsi="Times New Roman" w:cs="Times New Roman"/>
          <w:sz w:val="28"/>
          <w:szCs w:val="28"/>
          <w:u w:val="single"/>
        </w:rPr>
      </w:pPr>
      <w:r w:rsidRPr="00BB2012">
        <w:rPr>
          <w:rFonts w:ascii="Times New Roman" w:hAnsi="Times New Roman" w:cs="Times New Roman"/>
          <w:sz w:val="28"/>
          <w:szCs w:val="28"/>
          <w:u w:val="single"/>
        </w:rPr>
        <w:t>Теплоснабжение</w:t>
      </w:r>
    </w:p>
    <w:p w:rsidR="00BB2012" w:rsidRPr="00BB2012" w:rsidRDefault="00BB2012"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По принятым РСТ Дагестана решениям средний тариф на тепловую энергию по Республике Дагестан на первое полугодие 2020</w:t>
      </w:r>
      <w:r w:rsidR="001D1256">
        <w:rPr>
          <w:rFonts w:ascii="Times New Roman" w:hAnsi="Times New Roman" w:cs="Times New Roman"/>
          <w:sz w:val="28"/>
          <w:szCs w:val="28"/>
        </w:rPr>
        <w:t xml:space="preserve"> </w:t>
      </w:r>
      <w:r w:rsidRPr="00BB2012">
        <w:rPr>
          <w:rFonts w:ascii="Times New Roman" w:hAnsi="Times New Roman" w:cs="Times New Roman"/>
          <w:sz w:val="28"/>
          <w:szCs w:val="28"/>
        </w:rPr>
        <w:t>г. составляет 1334,26 руб./Гкал.</w:t>
      </w:r>
    </w:p>
    <w:p w:rsidR="00BB2012" w:rsidRPr="00BB2012" w:rsidRDefault="00BB2012"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 xml:space="preserve">Средний тариф второго полугодия по расчетам РСТ Дагестана составляет 1395,83 руб./Гкал, рост по отношению </w:t>
      </w:r>
      <w:r w:rsidR="001D1256">
        <w:rPr>
          <w:rFonts w:ascii="Times New Roman" w:hAnsi="Times New Roman" w:cs="Times New Roman"/>
          <w:sz w:val="28"/>
          <w:szCs w:val="28"/>
        </w:rPr>
        <w:t xml:space="preserve">к </w:t>
      </w:r>
      <w:r w:rsidRPr="00BB2012">
        <w:rPr>
          <w:rFonts w:ascii="Times New Roman" w:hAnsi="Times New Roman" w:cs="Times New Roman"/>
          <w:sz w:val="28"/>
          <w:szCs w:val="28"/>
        </w:rPr>
        <w:t>первому полугодию составляет 104,61%.</w:t>
      </w:r>
    </w:p>
    <w:p w:rsidR="00BB2012" w:rsidRPr="00BB2012" w:rsidRDefault="00BB2012" w:rsidP="00371F47">
      <w:pPr>
        <w:spacing w:after="0"/>
        <w:ind w:firstLine="709"/>
        <w:jc w:val="both"/>
        <w:rPr>
          <w:rFonts w:ascii="Times New Roman" w:eastAsia="Calibri" w:hAnsi="Times New Roman" w:cs="Times New Roman"/>
          <w:sz w:val="28"/>
          <w:szCs w:val="28"/>
          <w:u w:val="single"/>
          <w:lang w:eastAsia="en-US"/>
        </w:rPr>
      </w:pPr>
    </w:p>
    <w:p w:rsidR="00BB2012" w:rsidRPr="00BB2012" w:rsidRDefault="00BB2012" w:rsidP="00371F47">
      <w:pPr>
        <w:spacing w:after="0"/>
        <w:ind w:firstLine="709"/>
        <w:jc w:val="both"/>
        <w:rPr>
          <w:rFonts w:ascii="Times New Roman" w:eastAsia="Calibri" w:hAnsi="Times New Roman" w:cs="Times New Roman"/>
          <w:sz w:val="28"/>
          <w:szCs w:val="28"/>
          <w:u w:val="single"/>
          <w:lang w:eastAsia="en-US"/>
        </w:rPr>
      </w:pPr>
      <w:r w:rsidRPr="00BB2012">
        <w:rPr>
          <w:rFonts w:ascii="Times New Roman" w:eastAsia="Calibri" w:hAnsi="Times New Roman" w:cs="Times New Roman"/>
          <w:sz w:val="28"/>
          <w:szCs w:val="28"/>
          <w:u w:val="single"/>
          <w:lang w:eastAsia="en-US"/>
        </w:rPr>
        <w:t>Водоснабжение и водоотведение</w:t>
      </w:r>
    </w:p>
    <w:p w:rsidR="00BB2012" w:rsidRPr="00BB2012" w:rsidRDefault="00BB2012" w:rsidP="00371F47">
      <w:pPr>
        <w:spacing w:after="0"/>
        <w:ind w:firstLine="709"/>
        <w:jc w:val="both"/>
        <w:rPr>
          <w:rFonts w:ascii="Times New Roman" w:eastAsia="Calibri" w:hAnsi="Times New Roman" w:cs="Times New Roman"/>
          <w:sz w:val="28"/>
          <w:szCs w:val="28"/>
          <w:lang w:eastAsia="en-US"/>
        </w:rPr>
      </w:pPr>
      <w:r w:rsidRPr="00BB2012">
        <w:rPr>
          <w:rFonts w:ascii="Times New Roman" w:eastAsia="Calibri" w:hAnsi="Times New Roman" w:cs="Times New Roman"/>
          <w:sz w:val="28"/>
          <w:szCs w:val="28"/>
          <w:lang w:eastAsia="en-US"/>
        </w:rPr>
        <w:t>Средний по Республике Дагестан тариф на услуги по водоснабжению в первом полугодии 2020</w:t>
      </w:r>
      <w:r w:rsidR="001D1256">
        <w:rPr>
          <w:rFonts w:ascii="Times New Roman" w:eastAsia="Calibri" w:hAnsi="Times New Roman" w:cs="Times New Roman"/>
          <w:sz w:val="28"/>
          <w:szCs w:val="28"/>
          <w:lang w:eastAsia="en-US"/>
        </w:rPr>
        <w:t xml:space="preserve"> </w:t>
      </w:r>
      <w:r w:rsidRPr="00BB2012">
        <w:rPr>
          <w:rFonts w:ascii="Times New Roman" w:eastAsia="Calibri" w:hAnsi="Times New Roman" w:cs="Times New Roman"/>
          <w:sz w:val="28"/>
          <w:szCs w:val="28"/>
          <w:lang w:eastAsia="en-US"/>
        </w:rPr>
        <w:t>г. составил 7,57 руб./м</w:t>
      </w:r>
      <w:r w:rsidRPr="00BB2012">
        <w:rPr>
          <w:rFonts w:ascii="Times New Roman" w:eastAsia="Calibri" w:hAnsi="Times New Roman" w:cs="Times New Roman"/>
          <w:sz w:val="28"/>
          <w:szCs w:val="28"/>
          <w:vertAlign w:val="superscript"/>
          <w:lang w:eastAsia="en-US"/>
        </w:rPr>
        <w:t>3</w:t>
      </w:r>
      <w:r w:rsidRPr="00BB2012">
        <w:rPr>
          <w:rFonts w:ascii="Times New Roman" w:eastAsia="Calibri" w:hAnsi="Times New Roman" w:cs="Times New Roman"/>
          <w:sz w:val="28"/>
          <w:szCs w:val="28"/>
          <w:lang w:eastAsia="en-US"/>
        </w:rPr>
        <w:t>. Средний тариф второго полугодия составил 7,92 руб./м</w:t>
      </w:r>
      <w:r w:rsidRPr="00BB2012">
        <w:rPr>
          <w:rFonts w:ascii="Times New Roman" w:eastAsia="Calibri" w:hAnsi="Times New Roman" w:cs="Times New Roman"/>
          <w:sz w:val="28"/>
          <w:szCs w:val="28"/>
          <w:vertAlign w:val="superscript"/>
          <w:lang w:eastAsia="en-US"/>
        </w:rPr>
        <w:t>3</w:t>
      </w:r>
      <w:r w:rsidRPr="00BB2012">
        <w:rPr>
          <w:rFonts w:ascii="Times New Roman" w:eastAsia="Calibri" w:hAnsi="Times New Roman" w:cs="Times New Roman"/>
          <w:sz w:val="28"/>
          <w:szCs w:val="28"/>
          <w:lang w:eastAsia="en-US"/>
        </w:rPr>
        <w:t>, или 103,7 проц. от уровня среднего тарифа, действовавшего в январе 2020</w:t>
      </w:r>
      <w:r w:rsidR="001D1256">
        <w:rPr>
          <w:rFonts w:ascii="Times New Roman" w:eastAsia="Calibri" w:hAnsi="Times New Roman" w:cs="Times New Roman"/>
          <w:sz w:val="28"/>
          <w:szCs w:val="28"/>
          <w:lang w:eastAsia="en-US"/>
        </w:rPr>
        <w:t xml:space="preserve"> </w:t>
      </w:r>
      <w:r w:rsidRPr="00BB2012">
        <w:rPr>
          <w:rFonts w:ascii="Times New Roman" w:eastAsia="Calibri" w:hAnsi="Times New Roman" w:cs="Times New Roman"/>
          <w:sz w:val="28"/>
          <w:szCs w:val="28"/>
          <w:lang w:eastAsia="en-US"/>
        </w:rPr>
        <w:t>г.</w:t>
      </w:r>
    </w:p>
    <w:p w:rsidR="00BB2012" w:rsidRPr="00BB2012" w:rsidRDefault="00BB2012" w:rsidP="00371F47">
      <w:pPr>
        <w:spacing w:after="0"/>
        <w:ind w:firstLine="709"/>
        <w:jc w:val="both"/>
        <w:rPr>
          <w:rFonts w:ascii="Times New Roman" w:eastAsia="Calibri" w:hAnsi="Times New Roman" w:cs="Times New Roman"/>
          <w:sz w:val="28"/>
          <w:szCs w:val="28"/>
          <w:lang w:eastAsia="en-US"/>
        </w:rPr>
      </w:pPr>
      <w:r w:rsidRPr="00BB2012">
        <w:rPr>
          <w:rFonts w:ascii="Times New Roman" w:eastAsia="Calibri" w:hAnsi="Times New Roman" w:cs="Times New Roman"/>
          <w:sz w:val="28"/>
          <w:szCs w:val="28"/>
          <w:lang w:eastAsia="en-US"/>
        </w:rPr>
        <w:t>Средний по Республике Дагестан тариф на услуги по водоотведению в первом полугодии 2020</w:t>
      </w:r>
      <w:r w:rsidR="001D1256">
        <w:rPr>
          <w:rFonts w:ascii="Times New Roman" w:eastAsia="Calibri" w:hAnsi="Times New Roman" w:cs="Times New Roman"/>
          <w:sz w:val="28"/>
          <w:szCs w:val="28"/>
          <w:lang w:eastAsia="en-US"/>
        </w:rPr>
        <w:t xml:space="preserve"> </w:t>
      </w:r>
      <w:r w:rsidRPr="00BB2012">
        <w:rPr>
          <w:rFonts w:ascii="Times New Roman" w:eastAsia="Calibri" w:hAnsi="Times New Roman" w:cs="Times New Roman"/>
          <w:sz w:val="28"/>
          <w:szCs w:val="28"/>
          <w:lang w:eastAsia="en-US"/>
        </w:rPr>
        <w:t>г. составил 3,01 руб./м</w:t>
      </w:r>
      <w:r w:rsidRPr="00BB2012">
        <w:rPr>
          <w:rFonts w:ascii="Times New Roman" w:eastAsia="Calibri" w:hAnsi="Times New Roman" w:cs="Times New Roman"/>
          <w:sz w:val="28"/>
          <w:szCs w:val="28"/>
          <w:vertAlign w:val="superscript"/>
          <w:lang w:eastAsia="en-US"/>
        </w:rPr>
        <w:t>3</w:t>
      </w:r>
      <w:r w:rsidRPr="00BB2012">
        <w:rPr>
          <w:rFonts w:ascii="Times New Roman" w:eastAsia="Calibri" w:hAnsi="Times New Roman" w:cs="Times New Roman"/>
          <w:sz w:val="28"/>
          <w:szCs w:val="28"/>
          <w:lang w:eastAsia="en-US"/>
        </w:rPr>
        <w:t>. Средний тариф второго полугодия составил 3,14 руб./м</w:t>
      </w:r>
      <w:r w:rsidRPr="00BB2012">
        <w:rPr>
          <w:rFonts w:ascii="Times New Roman" w:eastAsia="Calibri" w:hAnsi="Times New Roman" w:cs="Times New Roman"/>
          <w:sz w:val="28"/>
          <w:szCs w:val="28"/>
          <w:vertAlign w:val="superscript"/>
          <w:lang w:eastAsia="en-US"/>
        </w:rPr>
        <w:t>3</w:t>
      </w:r>
      <w:r w:rsidRPr="00BB2012">
        <w:rPr>
          <w:rFonts w:ascii="Times New Roman" w:eastAsia="Calibri" w:hAnsi="Times New Roman" w:cs="Times New Roman"/>
          <w:sz w:val="28"/>
          <w:szCs w:val="28"/>
          <w:lang w:eastAsia="en-US"/>
        </w:rPr>
        <w:t>, или 104,3 проц. от уровня среднего тарифа, действовавшего в январе 2020</w:t>
      </w:r>
      <w:r w:rsidR="001D1256">
        <w:rPr>
          <w:rFonts w:ascii="Times New Roman" w:eastAsia="Calibri" w:hAnsi="Times New Roman" w:cs="Times New Roman"/>
          <w:sz w:val="28"/>
          <w:szCs w:val="28"/>
          <w:lang w:eastAsia="en-US"/>
        </w:rPr>
        <w:t xml:space="preserve"> </w:t>
      </w:r>
      <w:r w:rsidRPr="00BB2012">
        <w:rPr>
          <w:rFonts w:ascii="Times New Roman" w:eastAsia="Calibri" w:hAnsi="Times New Roman" w:cs="Times New Roman"/>
          <w:sz w:val="28"/>
          <w:szCs w:val="28"/>
          <w:lang w:eastAsia="en-US"/>
        </w:rPr>
        <w:t>г.</w:t>
      </w:r>
    </w:p>
    <w:p w:rsidR="00BB2012" w:rsidRDefault="00BE74FD" w:rsidP="00371F47">
      <w:pPr>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BB2012">
        <w:rPr>
          <w:rFonts w:ascii="Times New Roman" w:eastAsia="Times New Roman" w:hAnsi="Times New Roman" w:cs="Times New Roman"/>
          <w:color w:val="000000"/>
          <w:sz w:val="28"/>
          <w:szCs w:val="28"/>
        </w:rPr>
        <w:t xml:space="preserve"> </w:t>
      </w:r>
      <w:r w:rsidRPr="00BB2012">
        <w:rPr>
          <w:rFonts w:ascii="Times New Roman" w:hAnsi="Times New Roman" w:cs="Times New Roman"/>
          <w:sz w:val="28"/>
          <w:szCs w:val="28"/>
        </w:rPr>
        <w:t>В зоне повышенного внимания Межотраслевого совета находился вопрос формирования тарифа на техническое присоединение к сетям водоснабжения и водоотведения в целях создания запа</w:t>
      </w:r>
      <w:r w:rsidR="001D1256">
        <w:rPr>
          <w:rFonts w:ascii="Times New Roman" w:hAnsi="Times New Roman" w:cs="Times New Roman"/>
          <w:sz w:val="28"/>
          <w:szCs w:val="28"/>
        </w:rPr>
        <w:t>са мощности для подключения</w:t>
      </w:r>
      <w:r w:rsidRPr="00BB2012">
        <w:rPr>
          <w:rFonts w:ascii="Times New Roman" w:hAnsi="Times New Roman" w:cs="Times New Roman"/>
          <w:sz w:val="28"/>
          <w:szCs w:val="28"/>
        </w:rPr>
        <w:t xml:space="preserve"> новых заявителей. </w:t>
      </w:r>
      <w:r>
        <w:rPr>
          <w:rFonts w:ascii="Times New Roman" w:hAnsi="Times New Roman" w:cs="Times New Roman"/>
          <w:sz w:val="28"/>
          <w:szCs w:val="28"/>
        </w:rPr>
        <w:t>У</w:t>
      </w:r>
      <w:r w:rsidR="00BB2012" w:rsidRPr="00BB2012">
        <w:rPr>
          <w:rFonts w:ascii="Times New Roman" w:hAnsi="Times New Roman" w:cs="Times New Roman"/>
          <w:sz w:val="28"/>
          <w:szCs w:val="28"/>
        </w:rPr>
        <w:t>становлены тарифы на технологическое присоединение (подключение) к централизованным системам водоснабжения и водоотведения на 2020</w:t>
      </w:r>
      <w:r w:rsidR="001D1256">
        <w:rPr>
          <w:rFonts w:ascii="Times New Roman" w:hAnsi="Times New Roman" w:cs="Times New Roman"/>
          <w:sz w:val="28"/>
          <w:szCs w:val="28"/>
        </w:rPr>
        <w:t xml:space="preserve"> </w:t>
      </w:r>
      <w:r w:rsidR="00BB2012" w:rsidRPr="00BB2012">
        <w:rPr>
          <w:rFonts w:ascii="Times New Roman" w:hAnsi="Times New Roman" w:cs="Times New Roman"/>
          <w:sz w:val="28"/>
          <w:szCs w:val="28"/>
        </w:rPr>
        <w:t>г. для регулируемых организаций в городах Махачкала, Каспийск, Кизилюрт, Хасавюрт, Дербент, Кизляр и Новолакского р-на РД.</w:t>
      </w:r>
      <w:r w:rsidRPr="00BB2012">
        <w:rPr>
          <w:rFonts w:ascii="Times New Roman" w:eastAsia="Times New Roman" w:hAnsi="Times New Roman" w:cs="Times New Roman"/>
          <w:color w:val="000000"/>
          <w:sz w:val="28"/>
          <w:szCs w:val="28"/>
        </w:rPr>
        <w:t xml:space="preserve">           </w:t>
      </w:r>
    </w:p>
    <w:p w:rsidR="00371F47" w:rsidRPr="00BB2012" w:rsidRDefault="00371F47" w:rsidP="00371F47">
      <w:pPr>
        <w:spacing w:after="0"/>
        <w:jc w:val="both"/>
        <w:rPr>
          <w:rFonts w:ascii="Times New Roman" w:hAnsi="Times New Roman" w:cs="Times New Roman"/>
          <w:sz w:val="28"/>
          <w:szCs w:val="28"/>
        </w:rPr>
      </w:pPr>
    </w:p>
    <w:p w:rsidR="00BB2012" w:rsidRPr="00F34B6B" w:rsidRDefault="00BB2012" w:rsidP="00371F47">
      <w:pPr>
        <w:spacing w:after="0"/>
        <w:ind w:firstLine="709"/>
        <w:rPr>
          <w:rFonts w:ascii="Times New Roman" w:hAnsi="Times New Roman" w:cs="Times New Roman"/>
          <w:b/>
          <w:sz w:val="28"/>
        </w:rPr>
      </w:pPr>
      <w:r w:rsidRPr="00BB2012">
        <w:rPr>
          <w:rFonts w:ascii="Times New Roman" w:hAnsi="Times New Roman" w:cs="Times New Roman"/>
          <w:b/>
          <w:sz w:val="28"/>
        </w:rPr>
        <w:t>3. Инвестиционные программы</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С заявлением о включении в состав необходимой валовой выручки расходов на исполнение инвестиционных программ в 2019 году обратилось только ОАО «РЖД» (в части тарифов на услуги по передаче электрической энергии</w:t>
      </w:r>
      <w:r w:rsidR="001D1256">
        <w:rPr>
          <w:rFonts w:ascii="Times New Roman" w:hAnsi="Times New Roman" w:cs="Times New Roman"/>
          <w:sz w:val="28"/>
        </w:rPr>
        <w:t>)</w:t>
      </w:r>
      <w:r w:rsidRPr="00BB2012">
        <w:rPr>
          <w:rFonts w:ascii="Times New Roman" w:hAnsi="Times New Roman" w:cs="Times New Roman"/>
          <w:sz w:val="28"/>
        </w:rPr>
        <w:t>.</w:t>
      </w:r>
      <w:r w:rsidR="00F34B6B">
        <w:rPr>
          <w:rFonts w:ascii="Times New Roman" w:hAnsi="Times New Roman" w:cs="Times New Roman"/>
          <w:sz w:val="28"/>
        </w:rPr>
        <w:t xml:space="preserve"> </w:t>
      </w:r>
      <w:r w:rsidRPr="00BB2012">
        <w:rPr>
          <w:rFonts w:ascii="Times New Roman" w:hAnsi="Times New Roman" w:cs="Times New Roman"/>
          <w:sz w:val="28"/>
        </w:rPr>
        <w:t>Заявленная инвестиционная программа утверждена Министерством промышленности и энергетики Республики Дагестан приказом от 14.10.2019</w:t>
      </w:r>
      <w:r w:rsidR="001D1256">
        <w:rPr>
          <w:rFonts w:ascii="Times New Roman" w:hAnsi="Times New Roman" w:cs="Times New Roman"/>
          <w:sz w:val="28"/>
        </w:rPr>
        <w:t> </w:t>
      </w:r>
      <w:r w:rsidRPr="00BB2012">
        <w:rPr>
          <w:rFonts w:ascii="Times New Roman" w:hAnsi="Times New Roman" w:cs="Times New Roman"/>
          <w:sz w:val="28"/>
        </w:rPr>
        <w:t>г. № 126-ОД.</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По итогам рассмотрения представленных материалов соответствующие расходы учтены в необходимой валовой выручке ОАО «РЖД» на 2020 год. В течение года будет осуществляться контроль в части выполнения инвестиционной программы за счет тарифных источников.</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Иных обращений о включении расходов на выполнение инвестиционных программ в РСТ Дагестана в 2019 году не поступало.</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В сфере теплоснабжения инвестиционная программа утверждена Минстроем РД в отношении ООО «Дагестанэнерго». При этом в качестве источников финансирования инвестиционной программы указаны расходы на амортизацию, учитываемую в составе необходимой валовой выручки организации. Прямых расходов на выполнение инвестиционных программ теплоснабжающими организациями не заявлялось.</w:t>
      </w:r>
    </w:p>
    <w:p w:rsidR="00BB2012" w:rsidRPr="00BB2012" w:rsidRDefault="00BB2012" w:rsidP="00371F47">
      <w:pPr>
        <w:spacing w:after="0"/>
        <w:jc w:val="both"/>
        <w:rPr>
          <w:rFonts w:ascii="Times New Roman" w:hAnsi="Times New Roman" w:cs="Times New Roman"/>
          <w:sz w:val="28"/>
        </w:rPr>
      </w:pPr>
    </w:p>
    <w:p w:rsidR="00BB2012" w:rsidRPr="001D1256" w:rsidRDefault="00BB2012" w:rsidP="00371F47">
      <w:pPr>
        <w:spacing w:after="0"/>
        <w:ind w:firstLine="709"/>
        <w:jc w:val="both"/>
        <w:rPr>
          <w:rFonts w:ascii="Times New Roman" w:hAnsi="Times New Roman" w:cs="Times New Roman"/>
          <w:b/>
          <w:sz w:val="28"/>
        </w:rPr>
      </w:pPr>
      <w:r w:rsidRPr="00BB2012">
        <w:rPr>
          <w:rFonts w:ascii="Times New Roman" w:hAnsi="Times New Roman" w:cs="Times New Roman"/>
          <w:b/>
          <w:sz w:val="28"/>
        </w:rPr>
        <w:t>4. Особые условия функционирования оптового рынка электроэнергии на территории Республики Дагестан</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Постановлением Правительства РФ от 30.04.2018г. № 534 (далее – постановление № 534) для республик Северного Кавказа, в том числе Республики Дагестан, были созданы особые условия для покупки на оптовом рынке всего объема электроэнергии по регулируемым ценам (ниже рыночных). Вместе с тем, для сохранения указанных особенностей предусмотрено соблюдения ряда критериев, в том числе:</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 снижение фактического уровня потерь в электросетях;</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 оплата всей задолженности на оптовом рынке электроэнергии;</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 рост тарифов на услуги по передаче электроэнергии для прочих потребителей (не относящихся к категории «население) до 2023 года по 15% в год, а далее – не ниже уровня Прогноза социально-экономического развития РФ.</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 xml:space="preserve">С 2020 года указанный перечень дополнен необходимостью утверждения комплексной программы модернизации коммунальной инфраструктуры субъекта РФ. </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Кроме того, постановлением № 534 предусмотрен частичный учет сверхнормативных потерь электрической энергии.</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Одновременно с повышением тарифов на услуги по передаче электрической энергии происходило внедрение эталонного метода расчета затрат гарантирующих поставщиков электрической энергии, переход на который привел к существенному росту сбытовой надбавки гарантирующего поставщика электрической энергии ПАО «ДЭСК». Так, за период 2017-2020 гг. рост сбытовой надбавки составил 378%.</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Только за второе полугодие 2018 года эффект от вступления в силу постановления № 534 вместе с переходом на расчет сбытовой надбавки гарантирующего поставщика электрической энергии методом аналогов в среднем привел к росту средней конечной цены на электроэнергию для прочих потребителей на 119%, при этом пик наблюдался в октябре 2018 г. – рост составил 123%.</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По предварительным прогнозным расчетам регулирующих органов субъектов СКФО к 2023 году цена на электроэнергию для прочих потребителей в СКФО сравняется со среднероссийской, а в отдельных субъектах может превысить ее.</w:t>
      </w:r>
    </w:p>
    <w:p w:rsidR="00BB2012" w:rsidRPr="00BB2012" w:rsidRDefault="00BB2012" w:rsidP="00371F47">
      <w:pPr>
        <w:spacing w:after="0"/>
        <w:ind w:firstLine="709"/>
        <w:jc w:val="both"/>
        <w:rPr>
          <w:rFonts w:ascii="Times New Roman" w:hAnsi="Times New Roman" w:cs="Times New Roman"/>
          <w:sz w:val="28"/>
        </w:rPr>
      </w:pPr>
      <w:r w:rsidRPr="00BB2012">
        <w:rPr>
          <w:rFonts w:ascii="Times New Roman" w:hAnsi="Times New Roman" w:cs="Times New Roman"/>
          <w:sz w:val="28"/>
        </w:rPr>
        <w:t>При этом, эталонный принцип формирования затрат планируется перенести на остальные регулируемые направления – передачу электроэнергии, теплоснабжение, водоснабжение и водоотведение.</w:t>
      </w:r>
    </w:p>
    <w:p w:rsidR="00BB2012" w:rsidRPr="00BB2012" w:rsidRDefault="00BB2012" w:rsidP="00371F47">
      <w:pPr>
        <w:spacing w:after="0"/>
        <w:ind w:firstLine="709"/>
        <w:jc w:val="both"/>
        <w:rPr>
          <w:rFonts w:ascii="Times New Roman" w:hAnsi="Times New Roman" w:cs="Times New Roman"/>
          <w:sz w:val="28"/>
        </w:rPr>
      </w:pPr>
    </w:p>
    <w:p w:rsidR="00BB2012" w:rsidRPr="001D1256" w:rsidRDefault="00BB2012" w:rsidP="00371F47">
      <w:pPr>
        <w:spacing w:after="0"/>
        <w:ind w:firstLine="709"/>
        <w:jc w:val="both"/>
        <w:rPr>
          <w:rFonts w:ascii="Times New Roman" w:hAnsi="Times New Roman" w:cs="Times New Roman"/>
          <w:b/>
          <w:sz w:val="28"/>
        </w:rPr>
      </w:pPr>
      <w:r w:rsidRPr="00BB2012">
        <w:rPr>
          <w:rFonts w:ascii="Times New Roman" w:hAnsi="Times New Roman" w:cs="Times New Roman"/>
          <w:b/>
          <w:sz w:val="28"/>
        </w:rPr>
        <w:t>5. Конкурентные преимущества</w:t>
      </w:r>
    </w:p>
    <w:p w:rsidR="00666315" w:rsidRPr="00940A05" w:rsidRDefault="00BB2012" w:rsidP="00371F47">
      <w:pPr>
        <w:shd w:val="clear" w:color="auto" w:fill="FFFFFF"/>
        <w:spacing w:after="0"/>
        <w:ind w:firstLine="708"/>
        <w:jc w:val="both"/>
        <w:textAlignment w:val="baseline"/>
        <w:rPr>
          <w:rFonts w:ascii="Times New Roman" w:hAnsi="Times New Roman" w:cs="Times New Roman"/>
          <w:sz w:val="28"/>
        </w:rPr>
      </w:pPr>
      <w:r w:rsidRPr="00BB2012">
        <w:rPr>
          <w:rFonts w:ascii="Times New Roman" w:hAnsi="Times New Roman" w:cs="Times New Roman"/>
          <w:sz w:val="28"/>
        </w:rPr>
        <w:t>На сегодняшний день уровень тарифов на энергоресурсы для прочих потребителей еще значительно ниже среднероссийского уровня, что является безусловным конкурентным преимуществом на протяжении еще нескольких лет. Однако в связи с приведенными выше положениями законодательства, указанные преимущества, скорее всего, будут нивелированы после 2023 года</w:t>
      </w:r>
      <w:r w:rsidR="00666315">
        <w:rPr>
          <w:rFonts w:ascii="Times New Roman" w:hAnsi="Times New Roman" w:cs="Times New Roman"/>
          <w:sz w:val="28"/>
        </w:rPr>
        <w:t>.</w:t>
      </w:r>
    </w:p>
    <w:p w:rsidR="00666315" w:rsidRPr="00BB2012" w:rsidRDefault="00666315" w:rsidP="00371F47">
      <w:pPr>
        <w:spacing w:after="0"/>
        <w:jc w:val="both"/>
        <w:rPr>
          <w:rFonts w:ascii="Times New Roman" w:hAnsi="Times New Roman" w:cs="Times New Roman"/>
          <w:b/>
          <w:sz w:val="28"/>
          <w:szCs w:val="28"/>
        </w:rPr>
      </w:pPr>
      <w:r w:rsidRPr="00BB2012">
        <w:rPr>
          <w:rFonts w:ascii="Times New Roman" w:hAnsi="Times New Roman" w:cs="Times New Roman"/>
          <w:sz w:val="28"/>
          <w:szCs w:val="28"/>
        </w:rPr>
        <w:t xml:space="preserve">   </w:t>
      </w:r>
      <w:r w:rsidRPr="00BB2012">
        <w:rPr>
          <w:rFonts w:ascii="Times New Roman" w:hAnsi="Times New Roman" w:cs="Times New Roman"/>
          <w:b/>
          <w:sz w:val="28"/>
          <w:szCs w:val="28"/>
        </w:rPr>
        <w:t>Межотраслевым советом запланировано</w:t>
      </w:r>
      <w:r>
        <w:rPr>
          <w:rFonts w:ascii="Times New Roman" w:hAnsi="Times New Roman" w:cs="Times New Roman"/>
          <w:b/>
          <w:sz w:val="28"/>
          <w:szCs w:val="28"/>
        </w:rPr>
        <w:t xml:space="preserve"> 2020</w:t>
      </w:r>
      <w:r w:rsidRPr="00BB2012">
        <w:rPr>
          <w:rFonts w:ascii="Times New Roman" w:hAnsi="Times New Roman" w:cs="Times New Roman"/>
          <w:b/>
          <w:sz w:val="28"/>
          <w:szCs w:val="28"/>
        </w:rPr>
        <w:t xml:space="preserve"> год:</w:t>
      </w:r>
    </w:p>
    <w:p w:rsidR="00666315" w:rsidRPr="00BB2012" w:rsidRDefault="00666315"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Межотраслевым советом будут разработаны Критерии оценки выполнения инвестиционной программы регулируемой организации, в соответствии с которыми РСТ будет проводиться обобщающая оценка исполнения инвестиционной программы, в том числе достижение показателей, предусмотренных утвержденной инвестиционной программой, соблюдение сроков реализации инвестиционных программ и прочих параметров.</w:t>
      </w:r>
    </w:p>
    <w:p w:rsidR="00666315" w:rsidRPr="00BB2012" w:rsidRDefault="00666315"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Межотраслевой совет п</w:t>
      </w:r>
      <w:r>
        <w:rPr>
          <w:rFonts w:ascii="Times New Roman" w:hAnsi="Times New Roman" w:cs="Times New Roman"/>
          <w:sz w:val="28"/>
          <w:szCs w:val="28"/>
        </w:rPr>
        <w:t>отребителей запланировал на 2020</w:t>
      </w:r>
      <w:r w:rsidRPr="00BB2012">
        <w:rPr>
          <w:rFonts w:ascii="Times New Roman" w:hAnsi="Times New Roman" w:cs="Times New Roman"/>
          <w:sz w:val="28"/>
          <w:szCs w:val="28"/>
        </w:rPr>
        <w:t xml:space="preserve"> год работу по активизации участия органов местного самоуправления на каждом этапе формирования и реализации, затрагивающих их, инвестиционных программ субъектов естественных монополий, с целью снижения различных согласительных процедур, при утверждении этих инвестпрограмм и схем территориального план</w:t>
      </w:r>
      <w:r w:rsidR="001D1256">
        <w:rPr>
          <w:rFonts w:ascii="Times New Roman" w:hAnsi="Times New Roman" w:cs="Times New Roman"/>
          <w:sz w:val="28"/>
          <w:szCs w:val="28"/>
        </w:rPr>
        <w:t>ирования муниципалитетов, а так</w:t>
      </w:r>
      <w:r w:rsidRPr="00BB2012">
        <w:rPr>
          <w:rFonts w:ascii="Times New Roman" w:hAnsi="Times New Roman" w:cs="Times New Roman"/>
          <w:sz w:val="28"/>
          <w:szCs w:val="28"/>
        </w:rPr>
        <w:t xml:space="preserve">же участие исполнительных комитетов муниципальных районов республики в оценке соответствия положений проекта инвестпрограммы естественных монополий и стратегических документов территориального развития, оценке загруженности построенных (модернизированных) мощностей и их востребованности по результатам реализации данных программ. </w:t>
      </w:r>
    </w:p>
    <w:p w:rsidR="00666315" w:rsidRPr="00BB2012" w:rsidRDefault="00666315"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Нивелировать практику предыдущих лет, когда муниципальные образования работу по целевому мониторингу и оптимизации мероприятий инвестпрограмм монополий для данных территорий, фактически, перекладывали на плечи Межотраслевого совета потребителей и комитета РД по тарифам.</w:t>
      </w:r>
    </w:p>
    <w:p w:rsidR="00666315" w:rsidRPr="00BB2012" w:rsidRDefault="00666315" w:rsidP="00371F47">
      <w:pPr>
        <w:spacing w:after="0"/>
        <w:ind w:firstLine="709"/>
        <w:jc w:val="both"/>
        <w:rPr>
          <w:rFonts w:ascii="Times New Roman" w:hAnsi="Times New Roman" w:cs="Times New Roman"/>
          <w:sz w:val="28"/>
          <w:szCs w:val="28"/>
        </w:rPr>
      </w:pPr>
      <w:r w:rsidRPr="00BB2012">
        <w:rPr>
          <w:rFonts w:ascii="Times New Roman" w:hAnsi="Times New Roman" w:cs="Times New Roman"/>
          <w:sz w:val="28"/>
          <w:szCs w:val="28"/>
        </w:rPr>
        <w:t>Члены Межотраслевого совета считают  важным принять участие в проводимом Счетной палатой Республики Дагестан аудите эффективности использования государственных ресурсов, выделенных на капитальный ремонт, реконструкцию, строительство систем водоснабжения и водоотведения населенных пунктов республики. Учитывая, что во многих муниципальных образованиях до сих пор не завершен процесс утверждения схем водоснабжения и водоотведения, Межотраслевой совет планирует осуществлять анализ заявленных показателей качества и надежности при утверждении объема инвестиций из средств бюджета республики. Участие в аудите эффективности позволит Межотраслевому совету выявить проблемные зоны при формировании тарифных дел, требующие изменения в методиках ценообразования на услуги водоснабжения и водоотведения. Совет считает, что недоработки в системе управления отраслью могут ограничить возможности использования в ней механизмов концессионных соглашений.</w:t>
      </w:r>
    </w:p>
    <w:p w:rsidR="00666315" w:rsidRPr="00BB2012" w:rsidRDefault="00666315" w:rsidP="00371F47">
      <w:pPr>
        <w:spacing w:after="0"/>
        <w:ind w:firstLine="708"/>
        <w:jc w:val="both"/>
        <w:rPr>
          <w:rFonts w:ascii="Times New Roman" w:hAnsi="Times New Roman" w:cs="Times New Roman"/>
          <w:sz w:val="28"/>
          <w:szCs w:val="28"/>
        </w:rPr>
      </w:pPr>
      <w:r w:rsidRPr="00BB2012">
        <w:rPr>
          <w:rFonts w:ascii="Times New Roman" w:hAnsi="Times New Roman" w:cs="Times New Roman"/>
          <w:sz w:val="28"/>
          <w:szCs w:val="28"/>
        </w:rPr>
        <w:t xml:space="preserve">  </w:t>
      </w:r>
    </w:p>
    <w:p w:rsidR="00666315" w:rsidRPr="00BB2012" w:rsidRDefault="00666315" w:rsidP="00371F47">
      <w:pPr>
        <w:shd w:val="clear" w:color="auto" w:fill="FFFFFF"/>
        <w:spacing w:before="375" w:after="0"/>
        <w:jc w:val="both"/>
        <w:textAlignment w:val="baseline"/>
        <w:rPr>
          <w:rFonts w:ascii="Times New Roman" w:hAnsi="Times New Roman" w:cs="Times New Roman"/>
          <w:sz w:val="28"/>
          <w:szCs w:val="28"/>
        </w:rPr>
      </w:pPr>
    </w:p>
    <w:p w:rsidR="00714F30" w:rsidRPr="00BB2012" w:rsidRDefault="00714F30" w:rsidP="00371F47">
      <w:pPr>
        <w:tabs>
          <w:tab w:val="left" w:pos="3090"/>
        </w:tabs>
        <w:spacing w:after="0"/>
        <w:rPr>
          <w:rFonts w:ascii="Times New Roman" w:hAnsi="Times New Roman" w:cs="Times New Roman"/>
          <w:sz w:val="28"/>
          <w:szCs w:val="28"/>
        </w:rPr>
      </w:pPr>
    </w:p>
    <w:p w:rsidR="00371F47" w:rsidRPr="00BB2012" w:rsidRDefault="00371F47">
      <w:pPr>
        <w:tabs>
          <w:tab w:val="left" w:pos="3090"/>
        </w:tabs>
        <w:spacing w:after="0"/>
        <w:rPr>
          <w:rFonts w:ascii="Times New Roman" w:hAnsi="Times New Roman" w:cs="Times New Roman"/>
          <w:sz w:val="28"/>
          <w:szCs w:val="28"/>
        </w:rPr>
      </w:pPr>
    </w:p>
    <w:sectPr w:rsidR="00371F47" w:rsidRPr="00BB2012" w:rsidSect="009F6D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902" w:rsidRDefault="00C27902" w:rsidP="002D6411">
      <w:pPr>
        <w:spacing w:after="0" w:line="240" w:lineRule="auto"/>
      </w:pPr>
      <w:r>
        <w:separator/>
      </w:r>
    </w:p>
  </w:endnote>
  <w:endnote w:type="continuationSeparator" w:id="0">
    <w:p w:rsidR="00C27902" w:rsidRDefault="00C27902" w:rsidP="002D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902" w:rsidRDefault="00C27902" w:rsidP="002D6411">
      <w:pPr>
        <w:spacing w:after="0" w:line="240" w:lineRule="auto"/>
      </w:pPr>
      <w:r>
        <w:separator/>
      </w:r>
    </w:p>
  </w:footnote>
  <w:footnote w:type="continuationSeparator" w:id="0">
    <w:p w:rsidR="00C27902" w:rsidRDefault="00C27902" w:rsidP="002D6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2CA7"/>
    <w:rsid w:val="0001540B"/>
    <w:rsid w:val="00125FF7"/>
    <w:rsid w:val="00136CFD"/>
    <w:rsid w:val="00146F74"/>
    <w:rsid w:val="001B4BAE"/>
    <w:rsid w:val="001D1256"/>
    <w:rsid w:val="00273388"/>
    <w:rsid w:val="002D6411"/>
    <w:rsid w:val="00371F47"/>
    <w:rsid w:val="00387AD2"/>
    <w:rsid w:val="004962DF"/>
    <w:rsid w:val="004A1504"/>
    <w:rsid w:val="004B2A3E"/>
    <w:rsid w:val="004E5CC6"/>
    <w:rsid w:val="004F7435"/>
    <w:rsid w:val="00520D87"/>
    <w:rsid w:val="005452EC"/>
    <w:rsid w:val="0059266F"/>
    <w:rsid w:val="00630B9A"/>
    <w:rsid w:val="00653846"/>
    <w:rsid w:val="00666315"/>
    <w:rsid w:val="00675BC5"/>
    <w:rsid w:val="00691663"/>
    <w:rsid w:val="00714F30"/>
    <w:rsid w:val="007237A0"/>
    <w:rsid w:val="007B76FC"/>
    <w:rsid w:val="00873F06"/>
    <w:rsid w:val="008E497F"/>
    <w:rsid w:val="00940A05"/>
    <w:rsid w:val="009F6DD2"/>
    <w:rsid w:val="00A9155D"/>
    <w:rsid w:val="00A92073"/>
    <w:rsid w:val="00B05667"/>
    <w:rsid w:val="00B1667C"/>
    <w:rsid w:val="00B50262"/>
    <w:rsid w:val="00B507D5"/>
    <w:rsid w:val="00B7349A"/>
    <w:rsid w:val="00BB2012"/>
    <w:rsid w:val="00BC2EA5"/>
    <w:rsid w:val="00BE74FD"/>
    <w:rsid w:val="00C00456"/>
    <w:rsid w:val="00C220CD"/>
    <w:rsid w:val="00C27902"/>
    <w:rsid w:val="00C53FC7"/>
    <w:rsid w:val="00C813DE"/>
    <w:rsid w:val="00C82D27"/>
    <w:rsid w:val="00D62A7F"/>
    <w:rsid w:val="00D73CA4"/>
    <w:rsid w:val="00D8174E"/>
    <w:rsid w:val="00DA247E"/>
    <w:rsid w:val="00DD2CA7"/>
    <w:rsid w:val="00E50710"/>
    <w:rsid w:val="00EF6EE8"/>
    <w:rsid w:val="00F3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9AFB"/>
  <w15:docId w15:val="{BD6E5235-E34C-473A-9A3D-5A39DAF1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D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2CA7"/>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630B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2D641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6411"/>
  </w:style>
  <w:style w:type="paragraph" w:styleId="a7">
    <w:name w:val="footer"/>
    <w:basedOn w:val="a"/>
    <w:link w:val="a8"/>
    <w:uiPriority w:val="99"/>
    <w:semiHidden/>
    <w:unhideWhenUsed/>
    <w:rsid w:val="002D641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D6411"/>
  </w:style>
  <w:style w:type="table" w:customStyle="1" w:styleId="2">
    <w:name w:val="Сетка таблицы2"/>
    <w:basedOn w:val="a1"/>
    <w:uiPriority w:val="59"/>
    <w:rsid w:val="00D8174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17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1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17266">
      <w:bodyDiv w:val="1"/>
      <w:marLeft w:val="0"/>
      <w:marRight w:val="0"/>
      <w:marTop w:val="0"/>
      <w:marBottom w:val="0"/>
      <w:divBdr>
        <w:top w:val="none" w:sz="0" w:space="0" w:color="auto"/>
        <w:left w:val="none" w:sz="0" w:space="0" w:color="auto"/>
        <w:bottom w:val="none" w:sz="0" w:space="0" w:color="auto"/>
        <w:right w:val="none" w:sz="0" w:space="0" w:color="auto"/>
      </w:divBdr>
      <w:divsChild>
        <w:div w:id="1688170372">
          <w:marLeft w:val="0"/>
          <w:marRight w:val="0"/>
          <w:marTop w:val="0"/>
          <w:marBottom w:val="0"/>
          <w:divBdr>
            <w:top w:val="none" w:sz="0" w:space="0" w:color="auto"/>
            <w:left w:val="none" w:sz="0" w:space="0" w:color="auto"/>
            <w:bottom w:val="none" w:sz="0" w:space="0" w:color="auto"/>
            <w:right w:val="none" w:sz="0" w:space="0" w:color="auto"/>
          </w:divBdr>
          <w:divsChild>
            <w:div w:id="3506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F8A0A-9D3A-429D-8F02-2375C4DC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7</Pages>
  <Words>1955</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Гаджиева Хирапатимат Исрапиловна</cp:lastModifiedBy>
  <cp:revision>16</cp:revision>
  <dcterms:created xsi:type="dcterms:W3CDTF">2019-02-19T13:47:00Z</dcterms:created>
  <dcterms:modified xsi:type="dcterms:W3CDTF">2020-03-05T19:24:00Z</dcterms:modified>
</cp:coreProperties>
</file>