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D6C" w:rsidRPr="00B96527" w:rsidRDefault="00716D6C" w:rsidP="00B96527">
      <w:pPr>
        <w:pStyle w:val="a4"/>
        <w:shd w:val="clear" w:color="auto" w:fill="auto"/>
        <w:tabs>
          <w:tab w:val="left" w:leader="underscore" w:pos="1908"/>
        </w:tabs>
        <w:spacing w:line="274" w:lineRule="exact"/>
        <w:ind w:left="11907"/>
        <w:rPr>
          <w:rStyle w:val="211pt"/>
          <w:rFonts w:ascii="Times New Roman" w:hAnsi="Times New Roman" w:cs="Times New Roman"/>
          <w:sz w:val="24"/>
          <w:szCs w:val="24"/>
        </w:rPr>
      </w:pPr>
      <w:r w:rsidRPr="00B96527">
        <w:rPr>
          <w:rStyle w:val="211pt"/>
          <w:rFonts w:ascii="Times New Roman" w:hAnsi="Times New Roman" w:cs="Times New Roman"/>
          <w:sz w:val="24"/>
          <w:szCs w:val="24"/>
        </w:rPr>
        <w:t>УТВЕРЖДАЮ</w:t>
      </w:r>
    </w:p>
    <w:p w:rsidR="00716D6C" w:rsidRPr="00B96527" w:rsidRDefault="00716D6C" w:rsidP="00B96527">
      <w:pPr>
        <w:pStyle w:val="a4"/>
        <w:shd w:val="clear" w:color="auto" w:fill="auto"/>
        <w:tabs>
          <w:tab w:val="left" w:leader="underscore" w:pos="1908"/>
        </w:tabs>
        <w:spacing w:line="274" w:lineRule="exact"/>
        <w:ind w:left="11907"/>
        <w:rPr>
          <w:rStyle w:val="211pt"/>
          <w:rFonts w:ascii="Times New Roman" w:hAnsi="Times New Roman" w:cs="Times New Roman"/>
          <w:sz w:val="24"/>
          <w:szCs w:val="24"/>
        </w:rPr>
      </w:pPr>
      <w:r w:rsidRPr="00B96527">
        <w:rPr>
          <w:rStyle w:val="211pt"/>
          <w:rFonts w:ascii="Times New Roman" w:hAnsi="Times New Roman" w:cs="Times New Roman"/>
          <w:sz w:val="24"/>
          <w:szCs w:val="24"/>
        </w:rPr>
        <w:t>Заместитель председателя</w:t>
      </w:r>
    </w:p>
    <w:p w:rsidR="00BF450B" w:rsidRPr="00B96527" w:rsidRDefault="00BF450B" w:rsidP="00B96527">
      <w:pPr>
        <w:pStyle w:val="a4"/>
        <w:shd w:val="clear" w:color="auto" w:fill="auto"/>
        <w:tabs>
          <w:tab w:val="left" w:leader="underscore" w:pos="1908"/>
        </w:tabs>
        <w:spacing w:line="274" w:lineRule="exact"/>
        <w:ind w:left="11907"/>
        <w:rPr>
          <w:rStyle w:val="211pt"/>
          <w:rFonts w:ascii="Times New Roman" w:hAnsi="Times New Roman" w:cs="Times New Roman"/>
          <w:sz w:val="24"/>
          <w:szCs w:val="24"/>
        </w:rPr>
      </w:pPr>
      <w:r w:rsidRPr="00B96527">
        <w:rPr>
          <w:rStyle w:val="211pt"/>
          <w:rFonts w:ascii="Times New Roman" w:hAnsi="Times New Roman" w:cs="Times New Roman"/>
          <w:sz w:val="24"/>
          <w:szCs w:val="24"/>
        </w:rPr>
        <w:t>Комитета</w:t>
      </w:r>
      <w:r w:rsidR="00716D6C" w:rsidRPr="00B96527">
        <w:rPr>
          <w:rStyle w:val="211pt"/>
          <w:rFonts w:ascii="Times New Roman" w:hAnsi="Times New Roman" w:cs="Times New Roman"/>
          <w:sz w:val="24"/>
          <w:szCs w:val="24"/>
        </w:rPr>
        <w:t xml:space="preserve"> </w:t>
      </w:r>
      <w:r w:rsidRPr="00B96527">
        <w:rPr>
          <w:rStyle w:val="211pt"/>
          <w:rFonts w:ascii="Times New Roman" w:hAnsi="Times New Roman" w:cs="Times New Roman"/>
          <w:sz w:val="24"/>
          <w:szCs w:val="24"/>
        </w:rPr>
        <w:t>по науке и высшей школе</w:t>
      </w:r>
    </w:p>
    <w:p w:rsidR="00716D6C" w:rsidRPr="00B96527" w:rsidRDefault="00716D6C" w:rsidP="00B96527">
      <w:pPr>
        <w:pStyle w:val="a4"/>
        <w:shd w:val="clear" w:color="auto" w:fill="auto"/>
        <w:tabs>
          <w:tab w:val="left" w:leader="underscore" w:pos="1908"/>
        </w:tabs>
        <w:spacing w:line="274" w:lineRule="exact"/>
        <w:ind w:left="11907"/>
        <w:rPr>
          <w:rStyle w:val="211pt"/>
          <w:rFonts w:ascii="Times New Roman" w:hAnsi="Times New Roman" w:cs="Times New Roman"/>
          <w:sz w:val="24"/>
          <w:szCs w:val="24"/>
        </w:rPr>
      </w:pPr>
    </w:p>
    <w:p w:rsidR="00716D6C" w:rsidRPr="00B96527" w:rsidRDefault="00716D6C" w:rsidP="00B96527">
      <w:pPr>
        <w:pStyle w:val="a4"/>
        <w:shd w:val="clear" w:color="auto" w:fill="auto"/>
        <w:tabs>
          <w:tab w:val="left" w:leader="underscore" w:pos="1908"/>
        </w:tabs>
        <w:spacing w:line="274" w:lineRule="exact"/>
        <w:ind w:left="11907"/>
        <w:rPr>
          <w:rStyle w:val="211pt"/>
          <w:rFonts w:ascii="Times New Roman" w:hAnsi="Times New Roman" w:cs="Times New Roman"/>
          <w:sz w:val="24"/>
          <w:szCs w:val="24"/>
        </w:rPr>
      </w:pPr>
      <w:r w:rsidRPr="00B96527">
        <w:rPr>
          <w:rStyle w:val="211pt"/>
          <w:rFonts w:ascii="Times New Roman" w:hAnsi="Times New Roman" w:cs="Times New Roman"/>
          <w:sz w:val="24"/>
          <w:szCs w:val="24"/>
        </w:rPr>
        <w:t xml:space="preserve">______________ </w:t>
      </w:r>
      <w:proofErr w:type="spellStart"/>
      <w:r w:rsidRPr="00B96527">
        <w:rPr>
          <w:rStyle w:val="211pt"/>
          <w:rFonts w:ascii="Times New Roman" w:hAnsi="Times New Roman" w:cs="Times New Roman"/>
          <w:sz w:val="24"/>
          <w:szCs w:val="24"/>
        </w:rPr>
        <w:t>В.Т.Гайдей</w:t>
      </w:r>
      <w:proofErr w:type="spellEnd"/>
    </w:p>
    <w:p w:rsidR="00716D6C" w:rsidRPr="00B96527" w:rsidRDefault="00716D6C" w:rsidP="00B96527">
      <w:pPr>
        <w:pStyle w:val="a4"/>
        <w:shd w:val="clear" w:color="auto" w:fill="auto"/>
        <w:tabs>
          <w:tab w:val="left" w:leader="underscore" w:pos="1908"/>
        </w:tabs>
        <w:spacing w:line="274" w:lineRule="exact"/>
        <w:ind w:left="11907"/>
        <w:rPr>
          <w:rStyle w:val="211pt"/>
          <w:rFonts w:ascii="Times New Roman" w:hAnsi="Times New Roman" w:cs="Times New Roman"/>
          <w:sz w:val="24"/>
          <w:szCs w:val="24"/>
        </w:rPr>
      </w:pPr>
      <w:r w:rsidRPr="00B96527">
        <w:rPr>
          <w:rStyle w:val="211pt"/>
          <w:rFonts w:ascii="Times New Roman" w:hAnsi="Times New Roman" w:cs="Times New Roman"/>
          <w:sz w:val="24"/>
          <w:szCs w:val="24"/>
        </w:rPr>
        <w:t>«____» ________ 20___ г.</w:t>
      </w:r>
    </w:p>
    <w:p w:rsidR="00076651" w:rsidRPr="00B96527" w:rsidRDefault="00076651" w:rsidP="00716D6C">
      <w:pPr>
        <w:pStyle w:val="20"/>
        <w:shd w:val="clear" w:color="auto" w:fill="auto"/>
        <w:spacing w:after="0" w:line="240" w:lineRule="auto"/>
        <w:jc w:val="center"/>
        <w:rPr>
          <w:rStyle w:val="211pt"/>
          <w:rFonts w:ascii="Times New Roman" w:hAnsi="Times New Roman" w:cs="Times New Roman"/>
          <w:sz w:val="20"/>
          <w:szCs w:val="24"/>
        </w:rPr>
      </w:pPr>
    </w:p>
    <w:p w:rsidR="00BF450B" w:rsidRPr="00B96527" w:rsidRDefault="00BF450B" w:rsidP="00716D6C">
      <w:pPr>
        <w:pStyle w:val="20"/>
        <w:shd w:val="clear" w:color="auto" w:fill="auto"/>
        <w:spacing w:after="0" w:line="240" w:lineRule="auto"/>
        <w:jc w:val="center"/>
        <w:rPr>
          <w:rStyle w:val="211pt"/>
          <w:rFonts w:ascii="Times New Roman" w:hAnsi="Times New Roman" w:cs="Times New Roman"/>
          <w:b/>
          <w:sz w:val="24"/>
          <w:szCs w:val="24"/>
        </w:rPr>
      </w:pPr>
      <w:r w:rsidRPr="00B96527">
        <w:rPr>
          <w:rStyle w:val="211pt"/>
          <w:rFonts w:ascii="Times New Roman" w:hAnsi="Times New Roman" w:cs="Times New Roman"/>
          <w:b/>
          <w:sz w:val="24"/>
          <w:szCs w:val="24"/>
        </w:rPr>
        <w:t>ПЛАН МЕРОПРИЯТИЙ</w:t>
      </w:r>
    </w:p>
    <w:p w:rsidR="00BF450B" w:rsidRPr="00B96527" w:rsidRDefault="00BF450B" w:rsidP="00716D6C">
      <w:pPr>
        <w:pStyle w:val="20"/>
        <w:shd w:val="clear" w:color="auto" w:fill="auto"/>
        <w:spacing w:after="0" w:line="240" w:lineRule="auto"/>
        <w:jc w:val="center"/>
        <w:rPr>
          <w:rStyle w:val="211pt"/>
          <w:rFonts w:ascii="Times New Roman" w:hAnsi="Times New Roman" w:cs="Times New Roman"/>
          <w:b/>
          <w:sz w:val="24"/>
          <w:szCs w:val="24"/>
        </w:rPr>
      </w:pPr>
      <w:r w:rsidRPr="00B96527">
        <w:rPr>
          <w:rStyle w:val="211pt"/>
          <w:rFonts w:ascii="Times New Roman" w:hAnsi="Times New Roman" w:cs="Times New Roman"/>
          <w:b/>
          <w:sz w:val="24"/>
          <w:szCs w:val="24"/>
        </w:rPr>
        <w:t>по снижению рисков нарушения антимоноп</w:t>
      </w:r>
      <w:r w:rsidR="00E211AE">
        <w:rPr>
          <w:rStyle w:val="211pt"/>
          <w:rFonts w:ascii="Times New Roman" w:hAnsi="Times New Roman" w:cs="Times New Roman"/>
          <w:b/>
          <w:sz w:val="24"/>
          <w:szCs w:val="24"/>
        </w:rPr>
        <w:t>ольного законодательства на 2022</w:t>
      </w:r>
      <w:bookmarkStart w:id="0" w:name="_GoBack"/>
      <w:bookmarkEnd w:id="0"/>
      <w:r w:rsidRPr="00B96527">
        <w:rPr>
          <w:rStyle w:val="211pt"/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5529B5" w:rsidRPr="00B96527" w:rsidRDefault="005529B5" w:rsidP="00716D6C">
      <w:pPr>
        <w:pStyle w:val="20"/>
        <w:shd w:val="clear" w:color="auto" w:fill="auto"/>
        <w:spacing w:after="0" w:line="240" w:lineRule="auto"/>
        <w:jc w:val="center"/>
        <w:rPr>
          <w:rStyle w:val="211pt"/>
          <w:rFonts w:ascii="Times New Roman" w:hAnsi="Times New Roman" w:cs="Times New Roman"/>
          <w:sz w:val="20"/>
          <w:szCs w:val="24"/>
        </w:rPr>
      </w:pPr>
    </w:p>
    <w:tbl>
      <w:tblPr>
        <w:tblStyle w:val="a5"/>
        <w:tblW w:w="15730" w:type="dxa"/>
        <w:tblLook w:val="04A0"/>
      </w:tblPr>
      <w:tblGrid>
        <w:gridCol w:w="703"/>
        <w:gridCol w:w="4088"/>
        <w:gridCol w:w="4582"/>
        <w:gridCol w:w="2419"/>
        <w:gridCol w:w="1675"/>
        <w:gridCol w:w="2263"/>
      </w:tblGrid>
      <w:tr w:rsidR="0060182C" w:rsidRPr="00B96527" w:rsidTr="00076651">
        <w:tc>
          <w:tcPr>
            <w:tcW w:w="704" w:type="dxa"/>
            <w:vAlign w:val="center"/>
          </w:tcPr>
          <w:p w:rsidR="00BF450B" w:rsidRPr="00B96527" w:rsidRDefault="00BF450B" w:rsidP="00716D6C">
            <w:pPr>
              <w:pStyle w:val="20"/>
              <w:shd w:val="clear" w:color="auto" w:fill="auto"/>
              <w:spacing w:after="0" w:line="240" w:lineRule="auto"/>
              <w:ind w:right="113"/>
              <w:jc w:val="center"/>
              <w:rPr>
                <w:rStyle w:val="211pt"/>
                <w:rFonts w:ascii="Times New Roman" w:hAnsi="Times New Roman" w:cs="Times New Roman"/>
                <w:b/>
                <w:sz w:val="24"/>
                <w:szCs w:val="24"/>
              </w:rPr>
            </w:pPr>
            <w:r w:rsidRPr="00B96527">
              <w:rPr>
                <w:rStyle w:val="211pt"/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BF450B" w:rsidRPr="00B96527" w:rsidRDefault="00BF450B" w:rsidP="00716D6C">
            <w:pPr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527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148" w:type="dxa"/>
            <w:vAlign w:val="center"/>
          </w:tcPr>
          <w:p w:rsidR="00BF450B" w:rsidRPr="00B96527" w:rsidRDefault="00BF450B" w:rsidP="00716D6C">
            <w:pPr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527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4641" w:type="dxa"/>
            <w:vAlign w:val="center"/>
          </w:tcPr>
          <w:p w:rsidR="00BF450B" w:rsidRPr="00B96527" w:rsidRDefault="00BF450B" w:rsidP="00716D6C">
            <w:pPr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527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Описание действий</w:t>
            </w:r>
          </w:p>
        </w:tc>
        <w:tc>
          <w:tcPr>
            <w:tcW w:w="2427" w:type="dxa"/>
            <w:vAlign w:val="center"/>
          </w:tcPr>
          <w:p w:rsidR="00BF450B" w:rsidRPr="00B96527" w:rsidRDefault="00BF450B" w:rsidP="00716D6C">
            <w:pPr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527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  <w:tc>
          <w:tcPr>
            <w:tcW w:w="1683" w:type="dxa"/>
            <w:vAlign w:val="center"/>
          </w:tcPr>
          <w:p w:rsidR="00BF450B" w:rsidRPr="00B96527" w:rsidRDefault="00BF450B" w:rsidP="00716D6C">
            <w:pPr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527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127" w:type="dxa"/>
            <w:vAlign w:val="center"/>
          </w:tcPr>
          <w:p w:rsidR="00BF450B" w:rsidRPr="00B96527" w:rsidRDefault="00BF450B" w:rsidP="00716D6C">
            <w:pPr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527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</w:tr>
      <w:tr w:rsidR="0060182C" w:rsidRPr="00B96527" w:rsidTr="00076651">
        <w:tc>
          <w:tcPr>
            <w:tcW w:w="704" w:type="dxa"/>
            <w:vAlign w:val="center"/>
          </w:tcPr>
          <w:p w:rsidR="00BF450B" w:rsidRPr="00B96527" w:rsidRDefault="00BF450B" w:rsidP="00716D6C">
            <w:pPr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52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48" w:type="dxa"/>
          </w:tcPr>
          <w:p w:rsidR="00BF450B" w:rsidRPr="00B96527" w:rsidRDefault="00BF450B" w:rsidP="00B96527">
            <w:pPr>
              <w:ind w:right="113"/>
              <w:rPr>
                <w:rFonts w:ascii="Times New Roman" w:eastAsia="Sylfaen" w:hAnsi="Times New Roman" w:cs="Times New Roman"/>
                <w:bCs/>
                <w:color w:val="000000" w:themeColor="text1"/>
                <w:sz w:val="24"/>
                <w:szCs w:val="24"/>
                <w:lang w:eastAsia="ru-RU" w:bidi="ru-RU"/>
              </w:rPr>
            </w:pPr>
            <w:r w:rsidRPr="00B96527">
              <w:rPr>
                <w:rStyle w:val="211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Анализ выявленных нарушений ан</w:t>
            </w:r>
            <w:r w:rsidR="00716D6C" w:rsidRPr="00B96527">
              <w:rPr>
                <w:rStyle w:val="211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тимонопольного законодательства</w:t>
            </w:r>
            <w:r w:rsidR="00B96527">
              <w:rPr>
                <w:rStyle w:val="211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B96527">
              <w:rPr>
                <w:rStyle w:val="211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</w:t>
            </w:r>
            <w:r w:rsidR="00076651" w:rsidRPr="00B96527">
              <w:rPr>
                <w:rStyle w:val="211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деятельности Комитета по науке</w:t>
            </w:r>
            <w:r w:rsidR="00B96527">
              <w:rPr>
                <w:rStyle w:val="211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Pr="00B96527">
              <w:rPr>
                <w:rStyle w:val="211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и высшей школе (далее </w:t>
            </w:r>
            <w:r w:rsidR="00716D6C" w:rsidRPr="00B96527">
              <w:rPr>
                <w:rStyle w:val="211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– </w:t>
            </w:r>
            <w:r w:rsidRPr="00B96527">
              <w:rPr>
                <w:rStyle w:val="211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Комитет)</w:t>
            </w:r>
          </w:p>
        </w:tc>
        <w:tc>
          <w:tcPr>
            <w:tcW w:w="4641" w:type="dxa"/>
          </w:tcPr>
          <w:p w:rsidR="00716D6C" w:rsidRPr="00B96527" w:rsidRDefault="00716D6C" w:rsidP="00076651">
            <w:pPr>
              <w:pStyle w:val="20"/>
              <w:shd w:val="clear" w:color="auto" w:fill="auto"/>
              <w:tabs>
                <w:tab w:val="left" w:pos="425"/>
              </w:tabs>
              <w:spacing w:after="0" w:line="240" w:lineRule="auto"/>
              <w:rPr>
                <w:rStyle w:val="211pt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96527">
              <w:rPr>
                <w:rStyle w:val="211pt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1. </w:t>
            </w:r>
            <w:r w:rsidR="00076651" w:rsidRPr="00B96527">
              <w:rPr>
                <w:rStyle w:val="211pt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Осуществление сбора информации</w:t>
            </w:r>
            <w:r w:rsidR="00076651" w:rsidRPr="00B96527">
              <w:rPr>
                <w:rStyle w:val="211pt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</w:r>
            <w:r w:rsidR="00BF450B" w:rsidRPr="00B96527">
              <w:rPr>
                <w:rStyle w:val="211pt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 структурных подразделениях Комитета</w:t>
            </w:r>
            <w:r w:rsidR="00076651" w:rsidRPr="00B96527">
              <w:rPr>
                <w:rStyle w:val="211pt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</w:r>
            <w:r w:rsidR="00BF450B" w:rsidRPr="00B96527">
              <w:rPr>
                <w:rStyle w:val="211pt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 наличии нарушений</w:t>
            </w:r>
            <w:r w:rsidR="00076651" w:rsidRPr="00B96527">
              <w:rPr>
                <w:rStyle w:val="211pt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BF450B" w:rsidRPr="00B96527">
              <w:rPr>
                <w:rStyle w:val="211pt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антимонопольного</w:t>
            </w:r>
            <w:r w:rsidR="00076651" w:rsidRPr="00B96527">
              <w:rPr>
                <w:rStyle w:val="211pt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BF450B" w:rsidRPr="00B96527">
              <w:rPr>
                <w:rStyle w:val="211pt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законодательства;</w:t>
            </w:r>
          </w:p>
          <w:p w:rsidR="00BF450B" w:rsidRPr="00B96527" w:rsidRDefault="00716D6C" w:rsidP="00716D6C">
            <w:pPr>
              <w:pStyle w:val="20"/>
              <w:shd w:val="clear" w:color="auto" w:fill="auto"/>
              <w:spacing w:after="0" w:line="240" w:lineRule="auto"/>
              <w:ind w:right="113"/>
              <w:rPr>
                <w:rStyle w:val="211pt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96527">
              <w:rPr>
                <w:rStyle w:val="211pt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2. </w:t>
            </w:r>
            <w:r w:rsidR="00BF450B" w:rsidRPr="00B96527">
              <w:rPr>
                <w:rStyle w:val="211pt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Рассмотрение (при наличии) объявленных Комитету предупреждений, </w:t>
            </w:r>
            <w:r w:rsidRPr="00B96527">
              <w:rPr>
                <w:rStyle w:val="211pt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жалоб, возбужденных в отношении</w:t>
            </w:r>
            <w:r w:rsidR="00076651" w:rsidRPr="00B96527">
              <w:rPr>
                <w:rStyle w:val="211pt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него дел</w:t>
            </w:r>
            <w:r w:rsidR="00B96527">
              <w:rPr>
                <w:rStyle w:val="211pt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BF450B" w:rsidRPr="00B96527">
              <w:rPr>
                <w:rStyle w:val="211pt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 нарушении антимонопольного законодательства</w:t>
            </w:r>
            <w:r w:rsidR="00B96527">
              <w:rPr>
                <w:rStyle w:val="211pt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</w:r>
            <w:r w:rsidRPr="00B96527">
              <w:rPr>
                <w:rStyle w:val="211pt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 случаев привлечения</w:t>
            </w:r>
            <w:r w:rsidR="00B96527">
              <w:rPr>
                <w:rStyle w:val="211pt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</w:r>
            <w:r w:rsidR="00BF450B" w:rsidRPr="00B96527">
              <w:rPr>
                <w:rStyle w:val="211pt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 административной ответственности государственных гражданских служащих Санкт-Петербурга, замещающих должности гос</w:t>
            </w:r>
            <w:r w:rsidR="00076651" w:rsidRPr="00B96527">
              <w:rPr>
                <w:rStyle w:val="211pt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ударственной гражданской службы</w:t>
            </w:r>
            <w:r w:rsidR="00076651" w:rsidRPr="00B96527">
              <w:rPr>
                <w:rStyle w:val="211pt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</w:r>
            <w:r w:rsidR="00BF450B" w:rsidRPr="00B96527">
              <w:rPr>
                <w:rStyle w:val="211pt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 Комитете (далее </w:t>
            </w:r>
            <w:r w:rsidRPr="00B96527">
              <w:rPr>
                <w:rStyle w:val="211pt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="00BF450B" w:rsidRPr="00B96527">
              <w:rPr>
                <w:rStyle w:val="211pt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96527">
              <w:rPr>
                <w:rStyle w:val="211pt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работники</w:t>
            </w:r>
            <w:r w:rsidR="00BF450B" w:rsidRPr="00B96527">
              <w:rPr>
                <w:rStyle w:val="211pt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Комитета);</w:t>
            </w:r>
          </w:p>
          <w:p w:rsidR="00BF450B" w:rsidRPr="00B96527" w:rsidRDefault="00BF450B" w:rsidP="00716D6C">
            <w:pPr>
              <w:ind w:right="11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527">
              <w:rPr>
                <w:rStyle w:val="211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3. Подготовка перечня нарушений антимонопол</w:t>
            </w:r>
            <w:r w:rsidR="00076651" w:rsidRPr="00B96527">
              <w:rPr>
                <w:rStyle w:val="211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ьного законодательства</w:t>
            </w:r>
            <w:r w:rsidR="00076651" w:rsidRPr="00B96527">
              <w:rPr>
                <w:rStyle w:val="211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br/>
            </w:r>
            <w:r w:rsidRPr="00B96527">
              <w:rPr>
                <w:rStyle w:val="211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 Комитете</w:t>
            </w:r>
            <w:r w:rsidR="00716D6C" w:rsidRPr="00B965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076651" w:rsidRPr="00B96527" w:rsidRDefault="00076651" w:rsidP="00716D6C">
            <w:pPr>
              <w:ind w:right="11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27" w:type="dxa"/>
          </w:tcPr>
          <w:p w:rsidR="00BF450B" w:rsidRPr="00B96527" w:rsidRDefault="00716D6C" w:rsidP="00716D6C">
            <w:pPr>
              <w:pStyle w:val="20"/>
              <w:shd w:val="clear" w:color="auto" w:fill="auto"/>
              <w:spacing w:after="0" w:line="240" w:lineRule="auto"/>
              <w:ind w:right="113"/>
              <w:rPr>
                <w:rStyle w:val="211pt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527">
              <w:rPr>
                <w:rStyle w:val="211pt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Сектор закупок Комитета</w:t>
            </w:r>
          </w:p>
          <w:p w:rsidR="00BF450B" w:rsidRPr="00B96527" w:rsidRDefault="00BF450B" w:rsidP="00716D6C">
            <w:pPr>
              <w:ind w:right="11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F450B" w:rsidRPr="00B96527" w:rsidRDefault="00BF450B" w:rsidP="00716D6C">
            <w:pPr>
              <w:ind w:right="11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527">
              <w:rPr>
                <w:rStyle w:val="211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Отдел </w:t>
            </w:r>
            <w:r w:rsidR="00B96527">
              <w:rPr>
                <w:rStyle w:val="211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правового обеспечения, кадров</w:t>
            </w:r>
            <w:r w:rsidR="00B96527">
              <w:rPr>
                <w:rStyle w:val="211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br/>
            </w:r>
            <w:r w:rsidRPr="00B96527">
              <w:rPr>
                <w:rStyle w:val="211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и государственной службы Комитета</w:t>
            </w:r>
          </w:p>
        </w:tc>
        <w:tc>
          <w:tcPr>
            <w:tcW w:w="1683" w:type="dxa"/>
          </w:tcPr>
          <w:p w:rsidR="00BF450B" w:rsidRPr="00B96527" w:rsidRDefault="00076651" w:rsidP="00716D6C">
            <w:pPr>
              <w:ind w:right="11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6527">
              <w:rPr>
                <w:rStyle w:val="211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Не реже одного раза</w:t>
            </w:r>
            <w:r w:rsidRPr="00B96527">
              <w:rPr>
                <w:rStyle w:val="211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br/>
            </w:r>
            <w:r w:rsidR="00BF450B" w:rsidRPr="00B96527">
              <w:rPr>
                <w:rStyle w:val="211pt"/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в год</w:t>
            </w:r>
          </w:p>
        </w:tc>
        <w:tc>
          <w:tcPr>
            <w:tcW w:w="2127" w:type="dxa"/>
          </w:tcPr>
          <w:p w:rsidR="00BF450B" w:rsidRPr="00B96527" w:rsidRDefault="00BF450B" w:rsidP="00076651">
            <w:pPr>
              <w:pStyle w:val="20"/>
              <w:shd w:val="clear" w:color="auto" w:fill="auto"/>
              <w:spacing w:after="0" w:line="240" w:lineRule="auto"/>
              <w:ind w:right="113"/>
              <w:rPr>
                <w:rFonts w:ascii="Times New Roman" w:hAnsi="Times New Roman" w:cs="Times New Roman"/>
              </w:rPr>
            </w:pPr>
            <w:r w:rsidRPr="00B96527">
              <w:rPr>
                <w:rStyle w:val="211pt"/>
                <w:rFonts w:ascii="Times New Roman" w:hAnsi="Times New Roman" w:cs="Times New Roman"/>
                <w:bCs/>
                <w:sz w:val="24"/>
                <w:szCs w:val="24"/>
              </w:rPr>
              <w:t>Отсутствие</w:t>
            </w:r>
            <w:r w:rsidR="00076651" w:rsidRPr="00B96527">
              <w:rPr>
                <w:rStyle w:val="211pt"/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96527">
              <w:rPr>
                <w:rStyle w:val="211pt"/>
                <w:rFonts w:ascii="Times New Roman" w:hAnsi="Times New Roman" w:cs="Times New Roman"/>
                <w:bCs/>
                <w:sz w:val="24"/>
                <w:szCs w:val="24"/>
              </w:rPr>
              <w:t>нарушений</w:t>
            </w:r>
            <w:r w:rsidR="00076651" w:rsidRPr="00B96527">
              <w:rPr>
                <w:rStyle w:val="211pt"/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96527">
              <w:rPr>
                <w:rStyle w:val="211pt"/>
                <w:rFonts w:ascii="Times New Roman" w:hAnsi="Times New Roman" w:cs="Times New Roman"/>
                <w:bCs/>
                <w:sz w:val="24"/>
                <w:szCs w:val="24"/>
              </w:rPr>
              <w:t>антимонопольного</w:t>
            </w:r>
            <w:r w:rsidR="00076651" w:rsidRPr="00B96527">
              <w:rPr>
                <w:rStyle w:val="211pt"/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96527">
              <w:rPr>
                <w:rStyle w:val="211pt"/>
                <w:rFonts w:ascii="Times New Roman" w:hAnsi="Times New Roman" w:cs="Times New Roman"/>
                <w:bCs/>
                <w:sz w:val="24"/>
                <w:szCs w:val="24"/>
              </w:rPr>
              <w:t>законодательства</w:t>
            </w:r>
            <w:r w:rsidR="00076651" w:rsidRPr="00B96527">
              <w:rPr>
                <w:rStyle w:val="211pt"/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B96527">
              <w:rPr>
                <w:rStyle w:val="211pt"/>
                <w:rFonts w:ascii="Times New Roman" w:hAnsi="Times New Roman" w:cs="Times New Roman"/>
                <w:bCs/>
                <w:sz w:val="24"/>
                <w:szCs w:val="24"/>
              </w:rPr>
              <w:t>в деятельности</w:t>
            </w:r>
            <w:r w:rsidR="00076651" w:rsidRPr="00B96527">
              <w:rPr>
                <w:rStyle w:val="211pt"/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96527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Комитета</w:t>
            </w:r>
          </w:p>
        </w:tc>
      </w:tr>
      <w:tr w:rsidR="0060182C" w:rsidRPr="00B96527" w:rsidTr="00076651">
        <w:tc>
          <w:tcPr>
            <w:tcW w:w="704" w:type="dxa"/>
            <w:vAlign w:val="center"/>
          </w:tcPr>
          <w:p w:rsidR="00BF450B" w:rsidRPr="00B96527" w:rsidRDefault="00BF450B" w:rsidP="00716D6C">
            <w:pPr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527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 w:bidi="ru-RU"/>
              </w:rPr>
              <w:t>2.</w:t>
            </w:r>
          </w:p>
        </w:tc>
        <w:tc>
          <w:tcPr>
            <w:tcW w:w="4148" w:type="dxa"/>
          </w:tcPr>
          <w:p w:rsidR="00BF450B" w:rsidRPr="00B96527" w:rsidRDefault="00BF450B" w:rsidP="00716D6C">
            <w:pPr>
              <w:ind w:right="113"/>
              <w:rPr>
                <w:rFonts w:ascii="Times New Roman" w:eastAsia="Sylfae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B96527">
              <w:rPr>
                <w:rStyle w:val="211pt"/>
                <w:rFonts w:ascii="Times New Roman" w:hAnsi="Times New Roman" w:cs="Times New Roman"/>
                <w:b w:val="0"/>
                <w:sz w:val="24"/>
                <w:szCs w:val="24"/>
              </w:rPr>
              <w:t xml:space="preserve">Анализ проектов нормативных правовых актов, разработанных Комитетом, реализация которых связана с соблюдением требований антимонопольного </w:t>
            </w:r>
            <w:r w:rsidRPr="00B96527">
              <w:rPr>
                <w:rStyle w:val="211pt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законодательства (далее </w:t>
            </w:r>
            <w:r w:rsidR="00716D6C" w:rsidRPr="00B96527">
              <w:rPr>
                <w:rStyle w:val="211pt"/>
                <w:rFonts w:ascii="Times New Roman" w:hAnsi="Times New Roman" w:cs="Times New Roman"/>
                <w:b w:val="0"/>
                <w:sz w:val="24"/>
                <w:szCs w:val="24"/>
              </w:rPr>
              <w:t>–</w:t>
            </w:r>
            <w:r w:rsidRPr="00B96527">
              <w:rPr>
                <w:rStyle w:val="211pt"/>
                <w:rFonts w:ascii="Times New Roman" w:hAnsi="Times New Roman" w:cs="Times New Roman"/>
                <w:b w:val="0"/>
                <w:sz w:val="24"/>
                <w:szCs w:val="24"/>
              </w:rPr>
              <w:t xml:space="preserve"> проекты НПА Комитета</w:t>
            </w:r>
            <w:r w:rsidR="00556FDD" w:rsidRPr="00B96527">
              <w:rPr>
                <w:rStyle w:val="211pt"/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4641" w:type="dxa"/>
          </w:tcPr>
          <w:p w:rsidR="00BF450B" w:rsidRPr="00B96527" w:rsidRDefault="00716D6C" w:rsidP="00076651">
            <w:pPr>
              <w:pStyle w:val="20"/>
              <w:shd w:val="clear" w:color="auto" w:fill="auto"/>
              <w:tabs>
                <w:tab w:val="left" w:pos="482"/>
              </w:tabs>
              <w:spacing w:after="0" w:line="240" w:lineRule="auto"/>
              <w:ind w:right="113"/>
              <w:rPr>
                <w:rFonts w:ascii="Times New Roman" w:hAnsi="Times New Roman" w:cs="Times New Roman"/>
                <w:b w:val="0"/>
                <w:color w:val="000000"/>
                <w:lang w:eastAsia="ru-RU" w:bidi="ru-RU"/>
              </w:rPr>
            </w:pPr>
            <w:r w:rsidRPr="00B96527">
              <w:rPr>
                <w:rStyle w:val="211pt"/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1. </w:t>
            </w:r>
            <w:r w:rsidR="00BF450B" w:rsidRPr="00B96527">
              <w:rPr>
                <w:rStyle w:val="211pt"/>
                <w:rFonts w:ascii="Times New Roman" w:hAnsi="Times New Roman" w:cs="Times New Roman"/>
                <w:bCs/>
                <w:sz w:val="24"/>
                <w:szCs w:val="24"/>
              </w:rPr>
              <w:t>Размещение на веб-странице Комитета о</w:t>
            </w:r>
            <w:r w:rsidR="00076651" w:rsidRPr="00B96527">
              <w:rPr>
                <w:rStyle w:val="211pt"/>
                <w:rFonts w:ascii="Times New Roman" w:hAnsi="Times New Roman" w:cs="Times New Roman"/>
                <w:bCs/>
                <w:sz w:val="24"/>
                <w:szCs w:val="24"/>
              </w:rPr>
              <w:t>фициального сайта Администрации</w:t>
            </w:r>
            <w:r w:rsidR="00076651" w:rsidRPr="00B96527">
              <w:rPr>
                <w:rStyle w:val="211pt"/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="00BF450B" w:rsidRPr="00B96527">
              <w:rPr>
                <w:rStyle w:val="211pt"/>
                <w:rFonts w:ascii="Times New Roman" w:hAnsi="Times New Roman" w:cs="Times New Roman"/>
                <w:bCs/>
                <w:sz w:val="24"/>
                <w:szCs w:val="24"/>
              </w:rPr>
              <w:t>Санкт-Петербурга</w:t>
            </w:r>
            <w:r w:rsidR="00076651" w:rsidRPr="00B96527">
              <w:rPr>
                <w:rStyle w:val="211pt"/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F450B" w:rsidRPr="00B96527">
              <w:rPr>
                <w:rStyle w:val="211pt"/>
                <w:rFonts w:ascii="Times New Roman" w:hAnsi="Times New Roman" w:cs="Times New Roman"/>
                <w:bCs/>
                <w:sz w:val="24"/>
                <w:szCs w:val="24"/>
              </w:rPr>
              <w:t xml:space="preserve">в информационно телекоммуникационной сети «Интернет» (далее </w:t>
            </w:r>
            <w:r w:rsidRPr="00B96527">
              <w:rPr>
                <w:rStyle w:val="211pt"/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="00BF450B" w:rsidRPr="00B96527">
              <w:rPr>
                <w:rStyle w:val="211pt"/>
                <w:rFonts w:ascii="Times New Roman" w:hAnsi="Times New Roman" w:cs="Times New Roman"/>
                <w:bCs/>
                <w:sz w:val="24"/>
                <w:szCs w:val="24"/>
              </w:rPr>
              <w:t xml:space="preserve"> веб-страница Комитета) </w:t>
            </w:r>
            <w:r w:rsidR="00BF450B" w:rsidRPr="00B96527">
              <w:rPr>
                <w:rStyle w:val="211pt"/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проектов НПА Комитета;</w:t>
            </w:r>
          </w:p>
          <w:p w:rsidR="00BF450B" w:rsidRPr="00B96527" w:rsidRDefault="00076651" w:rsidP="00076651">
            <w:pPr>
              <w:pStyle w:val="20"/>
              <w:shd w:val="clear" w:color="auto" w:fill="auto"/>
              <w:tabs>
                <w:tab w:val="left" w:pos="482"/>
              </w:tabs>
              <w:spacing w:after="0" w:line="240" w:lineRule="auto"/>
              <w:ind w:right="113"/>
              <w:rPr>
                <w:rFonts w:ascii="Times New Roman" w:hAnsi="Times New Roman" w:cs="Times New Roman"/>
                <w:b w:val="0"/>
              </w:rPr>
            </w:pPr>
            <w:r w:rsidRPr="00B96527">
              <w:rPr>
                <w:rStyle w:val="211pt"/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="00BF450B" w:rsidRPr="00B96527">
              <w:rPr>
                <w:rStyle w:val="211pt"/>
                <w:rFonts w:ascii="Times New Roman" w:hAnsi="Times New Roman" w:cs="Times New Roman"/>
                <w:bCs/>
                <w:sz w:val="24"/>
                <w:szCs w:val="24"/>
              </w:rPr>
              <w:t>Рас</w:t>
            </w:r>
            <w:r w:rsidRPr="00B96527">
              <w:rPr>
                <w:rStyle w:val="211pt"/>
                <w:rFonts w:ascii="Times New Roman" w:hAnsi="Times New Roman" w:cs="Times New Roman"/>
                <w:bCs/>
                <w:sz w:val="24"/>
                <w:szCs w:val="24"/>
              </w:rPr>
              <w:t>смотрение поступивших замечаний</w:t>
            </w:r>
            <w:r w:rsidRPr="00B96527">
              <w:rPr>
                <w:rStyle w:val="211pt"/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="00BF450B" w:rsidRPr="00B96527">
              <w:rPr>
                <w:rStyle w:val="211pt"/>
                <w:rFonts w:ascii="Times New Roman" w:hAnsi="Times New Roman" w:cs="Times New Roman"/>
                <w:bCs/>
                <w:sz w:val="24"/>
                <w:szCs w:val="24"/>
              </w:rPr>
              <w:t>и предложений</w:t>
            </w:r>
            <w:r w:rsidRPr="00B96527">
              <w:rPr>
                <w:rStyle w:val="211pt"/>
                <w:rFonts w:ascii="Times New Roman" w:hAnsi="Times New Roman" w:cs="Times New Roman"/>
                <w:bCs/>
                <w:sz w:val="24"/>
                <w:szCs w:val="24"/>
              </w:rPr>
              <w:t xml:space="preserve"> по проектам НПА Комитета.</w:t>
            </w:r>
          </w:p>
        </w:tc>
        <w:tc>
          <w:tcPr>
            <w:tcW w:w="2427" w:type="dxa"/>
          </w:tcPr>
          <w:p w:rsidR="00BF450B" w:rsidRPr="00B96527" w:rsidRDefault="00BF450B" w:rsidP="00716D6C">
            <w:pPr>
              <w:pStyle w:val="20"/>
              <w:shd w:val="clear" w:color="auto" w:fill="auto"/>
              <w:spacing w:after="0" w:line="240" w:lineRule="auto"/>
              <w:ind w:right="113"/>
              <w:rPr>
                <w:rStyle w:val="211pt"/>
                <w:rFonts w:ascii="Times New Roman" w:hAnsi="Times New Roman" w:cs="Times New Roman"/>
                <w:sz w:val="24"/>
                <w:szCs w:val="24"/>
              </w:rPr>
            </w:pPr>
            <w:r w:rsidRPr="00B96527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Организационно-информационный отдел</w:t>
            </w:r>
            <w:r w:rsidR="00076651" w:rsidRPr="00B96527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 xml:space="preserve"> Комитета</w:t>
            </w:r>
          </w:p>
          <w:p w:rsidR="00BF450B" w:rsidRPr="00B96527" w:rsidRDefault="00BF450B" w:rsidP="00716D6C">
            <w:pPr>
              <w:pStyle w:val="20"/>
              <w:shd w:val="clear" w:color="auto" w:fill="auto"/>
              <w:spacing w:after="0" w:line="240" w:lineRule="auto"/>
              <w:ind w:right="113"/>
              <w:rPr>
                <w:rStyle w:val="211pt"/>
                <w:rFonts w:ascii="Times New Roman" w:hAnsi="Times New Roman" w:cs="Times New Roman"/>
                <w:sz w:val="24"/>
                <w:szCs w:val="24"/>
              </w:rPr>
            </w:pPr>
          </w:p>
          <w:p w:rsidR="00BF450B" w:rsidRPr="00B96527" w:rsidRDefault="00076651" w:rsidP="00716D6C">
            <w:pPr>
              <w:pStyle w:val="20"/>
              <w:shd w:val="clear" w:color="auto" w:fill="auto"/>
              <w:spacing w:after="0" w:line="240" w:lineRule="auto"/>
              <w:ind w:right="113"/>
              <w:rPr>
                <w:rStyle w:val="211pt"/>
                <w:rFonts w:ascii="Times New Roman" w:hAnsi="Times New Roman" w:cs="Times New Roman"/>
                <w:sz w:val="24"/>
                <w:szCs w:val="24"/>
              </w:rPr>
            </w:pPr>
            <w:r w:rsidRPr="00B96527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 xml:space="preserve">Структурное </w:t>
            </w:r>
            <w:r w:rsidRPr="00B96527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lastRenderedPageBreak/>
              <w:t>подразделение Комитета ответственное</w:t>
            </w:r>
            <w:r w:rsidRPr="00B96527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br/>
              <w:t>за разработку проекта НПА Комитета</w:t>
            </w:r>
          </w:p>
          <w:p w:rsidR="00BF450B" w:rsidRPr="00B96527" w:rsidRDefault="00BF450B" w:rsidP="00716D6C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BF450B" w:rsidRPr="00B96527" w:rsidRDefault="005529B5" w:rsidP="00716D6C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B96527">
              <w:rPr>
                <w:rStyle w:val="211pt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2127" w:type="dxa"/>
          </w:tcPr>
          <w:p w:rsidR="00BF450B" w:rsidRPr="00B96527" w:rsidRDefault="005529B5" w:rsidP="00716D6C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B96527">
              <w:rPr>
                <w:rStyle w:val="211pt"/>
                <w:rFonts w:ascii="Times New Roman" w:hAnsi="Times New Roman" w:cs="Times New Roman"/>
                <w:b w:val="0"/>
                <w:sz w:val="24"/>
                <w:szCs w:val="24"/>
              </w:rPr>
              <w:t>Отсутствие нарушений ан</w:t>
            </w:r>
            <w:r w:rsidR="00076651" w:rsidRPr="00B96527">
              <w:rPr>
                <w:rStyle w:val="211pt"/>
                <w:rFonts w:ascii="Times New Roman" w:hAnsi="Times New Roman" w:cs="Times New Roman"/>
                <w:b w:val="0"/>
                <w:sz w:val="24"/>
                <w:szCs w:val="24"/>
              </w:rPr>
              <w:t>тимонопольного законодательства</w:t>
            </w:r>
            <w:r w:rsidR="00076651" w:rsidRPr="00B96527">
              <w:rPr>
                <w:rStyle w:val="211pt"/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Pr="00B96527">
              <w:rPr>
                <w:rStyle w:val="211pt"/>
                <w:rFonts w:ascii="Times New Roman" w:hAnsi="Times New Roman" w:cs="Times New Roman"/>
                <w:b w:val="0"/>
                <w:sz w:val="24"/>
                <w:szCs w:val="24"/>
              </w:rPr>
              <w:t>в НПА Комитета</w:t>
            </w:r>
          </w:p>
        </w:tc>
      </w:tr>
      <w:tr w:rsidR="0060182C" w:rsidRPr="00B96527" w:rsidTr="00076651">
        <w:tc>
          <w:tcPr>
            <w:tcW w:w="704" w:type="dxa"/>
            <w:vAlign w:val="center"/>
          </w:tcPr>
          <w:p w:rsidR="00BF450B" w:rsidRPr="00B96527" w:rsidRDefault="00556FDD" w:rsidP="00716D6C">
            <w:pPr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527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3.</w:t>
            </w:r>
          </w:p>
        </w:tc>
        <w:tc>
          <w:tcPr>
            <w:tcW w:w="4148" w:type="dxa"/>
          </w:tcPr>
          <w:p w:rsidR="00BF450B" w:rsidRPr="00B96527" w:rsidRDefault="00556FDD" w:rsidP="00716D6C">
            <w:pPr>
              <w:ind w:right="113"/>
              <w:rPr>
                <w:rFonts w:ascii="Times New Roman" w:eastAsia="Sylfae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B96527">
              <w:rPr>
                <w:rStyle w:val="211pt"/>
                <w:rFonts w:ascii="Times New Roman" w:hAnsi="Times New Roman" w:cs="Times New Roman"/>
                <w:b w:val="0"/>
                <w:sz w:val="24"/>
                <w:szCs w:val="24"/>
              </w:rPr>
              <w:t>Анализ действующих нормативных правовых актов Комит</w:t>
            </w:r>
            <w:r w:rsidR="00B96527">
              <w:rPr>
                <w:rStyle w:val="211pt"/>
                <w:rFonts w:ascii="Times New Roman" w:hAnsi="Times New Roman" w:cs="Times New Roman"/>
                <w:b w:val="0"/>
                <w:sz w:val="24"/>
                <w:szCs w:val="24"/>
              </w:rPr>
              <w:t>ета, реализация которых связана</w:t>
            </w:r>
            <w:r w:rsidR="00B96527">
              <w:rPr>
                <w:rStyle w:val="211pt"/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Pr="00B96527">
              <w:rPr>
                <w:rStyle w:val="211pt"/>
                <w:rFonts w:ascii="Times New Roman" w:hAnsi="Times New Roman" w:cs="Times New Roman"/>
                <w:b w:val="0"/>
                <w:sz w:val="24"/>
                <w:szCs w:val="24"/>
              </w:rPr>
              <w:t>с соблюдением требований ан</w:t>
            </w:r>
            <w:r w:rsidR="00B96527">
              <w:rPr>
                <w:rStyle w:val="211pt"/>
                <w:rFonts w:ascii="Times New Roman" w:hAnsi="Times New Roman" w:cs="Times New Roman"/>
                <w:b w:val="0"/>
                <w:sz w:val="24"/>
                <w:szCs w:val="24"/>
              </w:rPr>
              <w:t>тимонопольного законодательства</w:t>
            </w:r>
            <w:r w:rsidR="00B96527">
              <w:rPr>
                <w:rStyle w:val="211pt"/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Pr="00B96527">
              <w:rPr>
                <w:rStyle w:val="211pt"/>
                <w:rFonts w:ascii="Times New Roman" w:hAnsi="Times New Roman" w:cs="Times New Roman"/>
                <w:b w:val="0"/>
                <w:sz w:val="24"/>
                <w:szCs w:val="24"/>
              </w:rPr>
              <w:t xml:space="preserve">(далее </w:t>
            </w:r>
            <w:r w:rsidR="00076651" w:rsidRPr="00B96527">
              <w:rPr>
                <w:rStyle w:val="211pt"/>
                <w:rFonts w:ascii="Times New Roman" w:hAnsi="Times New Roman" w:cs="Times New Roman"/>
                <w:b w:val="0"/>
                <w:sz w:val="24"/>
                <w:szCs w:val="24"/>
              </w:rPr>
              <w:t>–</w:t>
            </w:r>
            <w:r w:rsidRPr="00B96527">
              <w:rPr>
                <w:rStyle w:val="211pt"/>
                <w:rFonts w:ascii="Times New Roman" w:hAnsi="Times New Roman" w:cs="Times New Roman"/>
                <w:b w:val="0"/>
                <w:sz w:val="24"/>
                <w:szCs w:val="24"/>
              </w:rPr>
              <w:t xml:space="preserve"> НПА Комитета)</w:t>
            </w:r>
          </w:p>
        </w:tc>
        <w:tc>
          <w:tcPr>
            <w:tcW w:w="4641" w:type="dxa"/>
          </w:tcPr>
          <w:p w:rsidR="00BF450B" w:rsidRPr="00B96527" w:rsidRDefault="005529B5" w:rsidP="00716D6C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B96527">
              <w:rPr>
                <w:rFonts w:ascii="Times New Roman" w:hAnsi="Times New Roman" w:cs="Times New Roman"/>
                <w:sz w:val="24"/>
                <w:szCs w:val="24"/>
              </w:rPr>
              <w:t>1. Сбор и анализ замечаний</w:t>
            </w:r>
            <w:r w:rsidR="00B9652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96527">
              <w:rPr>
                <w:rFonts w:ascii="Times New Roman" w:hAnsi="Times New Roman" w:cs="Times New Roman"/>
                <w:sz w:val="24"/>
                <w:szCs w:val="24"/>
              </w:rPr>
              <w:t>и предложений граждан</w:t>
            </w:r>
            <w:r w:rsidR="00B965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527">
              <w:rPr>
                <w:rFonts w:ascii="Times New Roman" w:hAnsi="Times New Roman" w:cs="Times New Roman"/>
                <w:sz w:val="24"/>
                <w:szCs w:val="24"/>
              </w:rPr>
              <w:t>и юридических лиц по НПА Комитета;</w:t>
            </w:r>
          </w:p>
          <w:p w:rsidR="005529B5" w:rsidRPr="00B96527" w:rsidRDefault="005529B5" w:rsidP="00716D6C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6651" w:rsidRPr="00B96527" w:rsidRDefault="005529B5" w:rsidP="00076651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B96527">
              <w:rPr>
                <w:rFonts w:ascii="Times New Roman" w:hAnsi="Times New Roman" w:cs="Times New Roman"/>
                <w:sz w:val="24"/>
                <w:szCs w:val="24"/>
              </w:rPr>
              <w:t xml:space="preserve">2. Представление </w:t>
            </w:r>
            <w:r w:rsidR="00076651" w:rsidRPr="00B96527">
              <w:rPr>
                <w:rFonts w:ascii="Times New Roman" w:hAnsi="Times New Roman" w:cs="Times New Roman"/>
                <w:sz w:val="24"/>
                <w:szCs w:val="24"/>
              </w:rPr>
              <w:t>уполномоченному</w:t>
            </w:r>
          </w:p>
          <w:p w:rsidR="005529B5" w:rsidRPr="00B96527" w:rsidRDefault="00076651" w:rsidP="00076651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B96527">
              <w:rPr>
                <w:rFonts w:ascii="Times New Roman" w:hAnsi="Times New Roman" w:cs="Times New Roman"/>
                <w:sz w:val="24"/>
                <w:szCs w:val="24"/>
              </w:rPr>
              <w:t>должностному лицу</w:t>
            </w:r>
            <w:r w:rsidR="00B96527">
              <w:rPr>
                <w:rFonts w:ascii="Times New Roman" w:hAnsi="Times New Roman" w:cs="Times New Roman"/>
                <w:sz w:val="24"/>
                <w:szCs w:val="24"/>
              </w:rPr>
              <w:t xml:space="preserve"> за организацию</w:t>
            </w:r>
            <w:r w:rsidR="00B9652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96527">
              <w:rPr>
                <w:rFonts w:ascii="Times New Roman" w:hAnsi="Times New Roman" w:cs="Times New Roman"/>
                <w:sz w:val="24"/>
                <w:szCs w:val="24"/>
              </w:rPr>
              <w:t xml:space="preserve">и функционирование антимонопольного </w:t>
            </w:r>
            <w:proofErr w:type="spellStart"/>
            <w:r w:rsidRPr="00B96527">
              <w:rPr>
                <w:rFonts w:ascii="Times New Roman" w:hAnsi="Times New Roman" w:cs="Times New Roman"/>
                <w:sz w:val="24"/>
                <w:szCs w:val="24"/>
              </w:rPr>
              <w:t>комплаенса</w:t>
            </w:r>
            <w:proofErr w:type="spellEnd"/>
            <w:r w:rsidR="00B965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527">
              <w:rPr>
                <w:rFonts w:ascii="Times New Roman" w:hAnsi="Times New Roman" w:cs="Times New Roman"/>
                <w:sz w:val="24"/>
                <w:szCs w:val="24"/>
              </w:rPr>
              <w:t xml:space="preserve">в Комитете (заместителю председателя Комитета </w:t>
            </w:r>
            <w:proofErr w:type="spellStart"/>
            <w:r w:rsidRPr="00B96527">
              <w:rPr>
                <w:rFonts w:ascii="Times New Roman" w:hAnsi="Times New Roman" w:cs="Times New Roman"/>
                <w:sz w:val="24"/>
                <w:szCs w:val="24"/>
              </w:rPr>
              <w:t>В.Т.Гайдею</w:t>
            </w:r>
            <w:proofErr w:type="spellEnd"/>
            <w:r w:rsidRPr="00B96527">
              <w:rPr>
                <w:rFonts w:ascii="Times New Roman" w:hAnsi="Times New Roman" w:cs="Times New Roman"/>
                <w:sz w:val="24"/>
                <w:szCs w:val="24"/>
              </w:rPr>
              <w:t>) сводного доклада</w:t>
            </w:r>
            <w:r w:rsidR="00B965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29B5" w:rsidRPr="00B96527">
              <w:rPr>
                <w:rFonts w:ascii="Times New Roman" w:hAnsi="Times New Roman" w:cs="Times New Roman"/>
                <w:sz w:val="24"/>
                <w:szCs w:val="24"/>
              </w:rPr>
              <w:t xml:space="preserve">с обоснованием </w:t>
            </w:r>
            <w:r w:rsidRPr="00B96527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5529B5" w:rsidRPr="00B96527">
              <w:rPr>
                <w:rFonts w:ascii="Times New Roman" w:hAnsi="Times New Roman" w:cs="Times New Roman"/>
                <w:sz w:val="24"/>
                <w:szCs w:val="24"/>
              </w:rPr>
              <w:t>елесообразности (нецелесообразности) внесения изменений в НПА Комитета</w:t>
            </w:r>
            <w:r w:rsidRPr="00B965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76651" w:rsidRPr="00B96527" w:rsidRDefault="00076651" w:rsidP="00076651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5529B5" w:rsidRPr="00B96527" w:rsidRDefault="005529B5" w:rsidP="00716D6C">
            <w:pPr>
              <w:pStyle w:val="20"/>
              <w:shd w:val="clear" w:color="auto" w:fill="auto"/>
              <w:spacing w:after="0" w:line="240" w:lineRule="auto"/>
              <w:ind w:right="113"/>
              <w:rPr>
                <w:rStyle w:val="211pt"/>
                <w:rFonts w:ascii="Times New Roman" w:hAnsi="Times New Roman" w:cs="Times New Roman"/>
                <w:sz w:val="24"/>
                <w:szCs w:val="24"/>
              </w:rPr>
            </w:pPr>
            <w:r w:rsidRPr="00B96527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 xml:space="preserve">Отдел правового обеспечения, </w:t>
            </w:r>
            <w:r w:rsidR="00B96527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кадров</w:t>
            </w:r>
            <w:r w:rsidR="00B96527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br/>
            </w:r>
            <w:r w:rsidRPr="00B96527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и государственной службы Комитета</w:t>
            </w:r>
          </w:p>
          <w:p w:rsidR="00076651" w:rsidRPr="00B96527" w:rsidRDefault="00076651" w:rsidP="00716D6C">
            <w:pPr>
              <w:pStyle w:val="20"/>
              <w:shd w:val="clear" w:color="auto" w:fill="auto"/>
              <w:spacing w:after="0" w:line="240" w:lineRule="auto"/>
              <w:ind w:right="113"/>
              <w:rPr>
                <w:rStyle w:val="211pt"/>
                <w:rFonts w:ascii="Times New Roman" w:hAnsi="Times New Roman" w:cs="Times New Roman"/>
                <w:sz w:val="24"/>
                <w:szCs w:val="24"/>
              </w:rPr>
            </w:pPr>
          </w:p>
          <w:p w:rsidR="00076651" w:rsidRPr="00B96527" w:rsidRDefault="00076651" w:rsidP="00076651">
            <w:pPr>
              <w:pStyle w:val="20"/>
              <w:shd w:val="clear" w:color="auto" w:fill="auto"/>
              <w:spacing w:after="0" w:line="240" w:lineRule="auto"/>
              <w:ind w:right="113"/>
              <w:rPr>
                <w:rStyle w:val="211pt"/>
                <w:rFonts w:ascii="Times New Roman" w:hAnsi="Times New Roman" w:cs="Times New Roman"/>
                <w:sz w:val="24"/>
                <w:szCs w:val="24"/>
              </w:rPr>
            </w:pPr>
            <w:r w:rsidRPr="00B96527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Структурное подразделение Комитета ответственное</w:t>
            </w:r>
            <w:r w:rsidRPr="00B96527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br/>
              <w:t>за разработку</w:t>
            </w:r>
            <w:r w:rsidRPr="00B96527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br/>
              <w:t>и принятие НПА Комитета</w:t>
            </w:r>
          </w:p>
          <w:p w:rsidR="00BF450B" w:rsidRPr="00B96527" w:rsidRDefault="00BF450B" w:rsidP="00716D6C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</w:tcPr>
          <w:p w:rsidR="00BF450B" w:rsidRPr="00B96527" w:rsidRDefault="00BF450B" w:rsidP="00716D6C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F450B" w:rsidRPr="00B96527" w:rsidRDefault="005529B5" w:rsidP="00716D6C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B96527">
              <w:rPr>
                <w:rStyle w:val="211pt"/>
                <w:rFonts w:ascii="Times New Roman" w:hAnsi="Times New Roman" w:cs="Times New Roman"/>
                <w:b w:val="0"/>
                <w:sz w:val="24"/>
                <w:szCs w:val="24"/>
              </w:rPr>
              <w:t>Отсутствие нарушений ан</w:t>
            </w:r>
            <w:r w:rsidR="00076651" w:rsidRPr="00B96527">
              <w:rPr>
                <w:rStyle w:val="211pt"/>
                <w:rFonts w:ascii="Times New Roman" w:hAnsi="Times New Roman" w:cs="Times New Roman"/>
                <w:b w:val="0"/>
                <w:sz w:val="24"/>
                <w:szCs w:val="24"/>
              </w:rPr>
              <w:t>тимонопольного законодательства</w:t>
            </w:r>
            <w:r w:rsidR="00076651" w:rsidRPr="00B96527">
              <w:rPr>
                <w:rStyle w:val="211pt"/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Pr="00B96527">
              <w:rPr>
                <w:rStyle w:val="211pt"/>
                <w:rFonts w:ascii="Times New Roman" w:hAnsi="Times New Roman" w:cs="Times New Roman"/>
                <w:b w:val="0"/>
                <w:sz w:val="24"/>
                <w:szCs w:val="24"/>
              </w:rPr>
              <w:t>в НПА Комитета</w:t>
            </w:r>
          </w:p>
        </w:tc>
      </w:tr>
      <w:tr w:rsidR="0060182C" w:rsidRPr="00B96527" w:rsidTr="00076651">
        <w:trPr>
          <w:trHeight w:val="1023"/>
        </w:trPr>
        <w:tc>
          <w:tcPr>
            <w:tcW w:w="704" w:type="dxa"/>
            <w:vAlign w:val="center"/>
          </w:tcPr>
          <w:p w:rsidR="00BF450B" w:rsidRPr="00B96527" w:rsidRDefault="00556FDD" w:rsidP="00716D6C">
            <w:pPr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52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48" w:type="dxa"/>
          </w:tcPr>
          <w:p w:rsidR="00BF450B" w:rsidRPr="00B96527" w:rsidRDefault="00556FDD" w:rsidP="00716D6C">
            <w:pPr>
              <w:ind w:right="113"/>
              <w:rPr>
                <w:rStyle w:val="211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96527">
              <w:rPr>
                <w:rStyle w:val="211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Оценка рисков нарушения антимонопольного законодательства</w:t>
            </w:r>
          </w:p>
        </w:tc>
        <w:tc>
          <w:tcPr>
            <w:tcW w:w="4641" w:type="dxa"/>
          </w:tcPr>
          <w:p w:rsidR="0029324A" w:rsidRPr="00B96527" w:rsidRDefault="00556FDD" w:rsidP="0029324A">
            <w:pPr>
              <w:ind w:right="113"/>
              <w:rPr>
                <w:rStyle w:val="211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96527">
              <w:rPr>
                <w:rStyle w:val="211pt"/>
                <w:rFonts w:ascii="Times New Roman" w:hAnsi="Times New Roman" w:cs="Times New Roman"/>
                <w:b w:val="0"/>
                <w:sz w:val="24"/>
                <w:szCs w:val="24"/>
              </w:rPr>
              <w:t xml:space="preserve">Выявление рисков нарушения антимонопольного законодательства распределяются </w:t>
            </w:r>
            <w:r w:rsidR="0029324A" w:rsidRPr="00B96527">
              <w:rPr>
                <w:rStyle w:val="211pt"/>
                <w:rFonts w:ascii="Times New Roman" w:hAnsi="Times New Roman" w:cs="Times New Roman"/>
                <w:b w:val="0"/>
                <w:sz w:val="24"/>
                <w:szCs w:val="24"/>
              </w:rPr>
              <w:t>уполномоченным</w:t>
            </w:r>
          </w:p>
          <w:p w:rsidR="00BF450B" w:rsidRPr="00B96527" w:rsidRDefault="0029324A" w:rsidP="0029324A">
            <w:pPr>
              <w:ind w:right="113"/>
              <w:rPr>
                <w:rStyle w:val="211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96527">
              <w:rPr>
                <w:rStyle w:val="211pt"/>
                <w:rFonts w:ascii="Times New Roman" w:hAnsi="Times New Roman" w:cs="Times New Roman"/>
                <w:b w:val="0"/>
                <w:sz w:val="24"/>
                <w:szCs w:val="24"/>
              </w:rPr>
              <w:t>должностным лицом за организацию</w:t>
            </w:r>
            <w:r w:rsidRPr="00B96527">
              <w:rPr>
                <w:rStyle w:val="211pt"/>
                <w:rFonts w:ascii="Times New Roman" w:hAnsi="Times New Roman" w:cs="Times New Roman"/>
                <w:b w:val="0"/>
                <w:sz w:val="24"/>
                <w:szCs w:val="24"/>
              </w:rPr>
              <w:br/>
              <w:t xml:space="preserve">и функционирование антимонопольного </w:t>
            </w:r>
            <w:proofErr w:type="spellStart"/>
            <w:r w:rsidRPr="00B96527">
              <w:rPr>
                <w:rStyle w:val="211pt"/>
                <w:rFonts w:ascii="Times New Roman" w:hAnsi="Times New Roman" w:cs="Times New Roman"/>
                <w:b w:val="0"/>
                <w:sz w:val="24"/>
                <w:szCs w:val="24"/>
              </w:rPr>
              <w:t>комплаенса</w:t>
            </w:r>
            <w:proofErr w:type="spellEnd"/>
            <w:r w:rsidRPr="00B96527">
              <w:rPr>
                <w:rStyle w:val="211pt"/>
                <w:rFonts w:ascii="Times New Roman" w:hAnsi="Times New Roman" w:cs="Times New Roman"/>
                <w:b w:val="0"/>
                <w:sz w:val="24"/>
                <w:szCs w:val="24"/>
              </w:rPr>
              <w:t xml:space="preserve"> в Комитете (заместитель председателя Комитета </w:t>
            </w:r>
            <w:proofErr w:type="spellStart"/>
            <w:r w:rsidRPr="00B96527">
              <w:rPr>
                <w:rStyle w:val="211pt"/>
                <w:rFonts w:ascii="Times New Roman" w:hAnsi="Times New Roman" w:cs="Times New Roman"/>
                <w:b w:val="0"/>
                <w:sz w:val="24"/>
                <w:szCs w:val="24"/>
              </w:rPr>
              <w:t>В.Т.Гайдей</w:t>
            </w:r>
            <w:proofErr w:type="spellEnd"/>
            <w:r w:rsidRPr="00B96527">
              <w:rPr>
                <w:rStyle w:val="211pt"/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  <w:r w:rsidRPr="00B96527">
              <w:rPr>
                <w:rStyle w:val="211pt"/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="00556FDD" w:rsidRPr="00B96527">
              <w:rPr>
                <w:rStyle w:val="211pt"/>
                <w:rFonts w:ascii="Times New Roman" w:hAnsi="Times New Roman" w:cs="Times New Roman"/>
                <w:b w:val="0"/>
                <w:sz w:val="24"/>
                <w:szCs w:val="24"/>
              </w:rPr>
              <w:t>по уровням</w:t>
            </w:r>
          </w:p>
        </w:tc>
        <w:tc>
          <w:tcPr>
            <w:tcW w:w="2427" w:type="dxa"/>
          </w:tcPr>
          <w:p w:rsidR="00BF450B" w:rsidRPr="00B96527" w:rsidRDefault="00BF450B" w:rsidP="00716D6C">
            <w:pPr>
              <w:ind w:right="113"/>
              <w:rPr>
                <w:rStyle w:val="211pt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683" w:type="dxa"/>
          </w:tcPr>
          <w:p w:rsidR="00BF450B" w:rsidRPr="00B96527" w:rsidRDefault="00556FDD" w:rsidP="00716D6C">
            <w:pPr>
              <w:ind w:right="113"/>
              <w:rPr>
                <w:rStyle w:val="211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96527">
              <w:rPr>
                <w:rStyle w:val="211pt"/>
                <w:rFonts w:ascii="Times New Roman" w:hAnsi="Times New Roman" w:cs="Times New Roman"/>
                <w:b w:val="0"/>
                <w:sz w:val="24"/>
                <w:szCs w:val="24"/>
              </w:rPr>
              <w:t>Постоянно</w:t>
            </w:r>
          </w:p>
        </w:tc>
        <w:tc>
          <w:tcPr>
            <w:tcW w:w="2127" w:type="dxa"/>
          </w:tcPr>
          <w:p w:rsidR="00BF450B" w:rsidRPr="00B96527" w:rsidRDefault="00556FDD" w:rsidP="00076651">
            <w:pPr>
              <w:ind w:right="113"/>
              <w:rPr>
                <w:rStyle w:val="211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96527">
              <w:rPr>
                <w:rStyle w:val="211pt"/>
                <w:rFonts w:ascii="Times New Roman" w:hAnsi="Times New Roman" w:cs="Times New Roman"/>
                <w:b w:val="0"/>
                <w:sz w:val="24"/>
                <w:szCs w:val="24"/>
              </w:rPr>
              <w:t>Соблюдение</w:t>
            </w:r>
            <w:r w:rsidR="00076651" w:rsidRPr="00B96527">
              <w:rPr>
                <w:rStyle w:val="211pt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B96527">
              <w:rPr>
                <w:rStyle w:val="211pt"/>
                <w:rFonts w:ascii="Times New Roman" w:hAnsi="Times New Roman" w:cs="Times New Roman"/>
                <w:b w:val="0"/>
                <w:sz w:val="24"/>
                <w:szCs w:val="24"/>
              </w:rPr>
              <w:t>Комитетом</w:t>
            </w:r>
            <w:r w:rsidR="00076651" w:rsidRPr="00B96527">
              <w:rPr>
                <w:rStyle w:val="211pt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B96527">
              <w:rPr>
                <w:rStyle w:val="211pt"/>
                <w:rFonts w:ascii="Times New Roman" w:hAnsi="Times New Roman" w:cs="Times New Roman"/>
                <w:b w:val="0"/>
                <w:sz w:val="24"/>
                <w:szCs w:val="24"/>
              </w:rPr>
              <w:t>требований</w:t>
            </w:r>
            <w:r w:rsidR="00076651" w:rsidRPr="00B96527">
              <w:rPr>
                <w:rStyle w:val="211pt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B96527">
              <w:rPr>
                <w:rStyle w:val="211pt"/>
                <w:rFonts w:ascii="Times New Roman" w:hAnsi="Times New Roman" w:cs="Times New Roman"/>
                <w:b w:val="0"/>
                <w:sz w:val="24"/>
                <w:szCs w:val="24"/>
              </w:rPr>
              <w:t>антимонопольного</w:t>
            </w:r>
            <w:r w:rsidR="00076651" w:rsidRPr="00B96527">
              <w:rPr>
                <w:rStyle w:val="211pt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B96527">
              <w:rPr>
                <w:rStyle w:val="211pt"/>
                <w:rFonts w:ascii="Times New Roman" w:hAnsi="Times New Roman" w:cs="Times New Roman"/>
                <w:b w:val="0"/>
                <w:sz w:val="24"/>
                <w:szCs w:val="24"/>
              </w:rPr>
              <w:t>законодательства</w:t>
            </w:r>
          </w:p>
        </w:tc>
      </w:tr>
      <w:tr w:rsidR="0060182C" w:rsidRPr="00B96527" w:rsidTr="00076651">
        <w:tc>
          <w:tcPr>
            <w:tcW w:w="704" w:type="dxa"/>
            <w:vAlign w:val="center"/>
          </w:tcPr>
          <w:p w:rsidR="00BF450B" w:rsidRPr="00B96527" w:rsidRDefault="005529B5" w:rsidP="00716D6C">
            <w:pPr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52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48" w:type="dxa"/>
          </w:tcPr>
          <w:p w:rsidR="00BF450B" w:rsidRPr="00B96527" w:rsidRDefault="005529B5" w:rsidP="00716D6C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B96527">
              <w:rPr>
                <w:rStyle w:val="211pt"/>
                <w:rFonts w:ascii="Times New Roman" w:hAnsi="Times New Roman" w:cs="Times New Roman"/>
                <w:b w:val="0"/>
                <w:sz w:val="24"/>
                <w:szCs w:val="24"/>
              </w:rPr>
              <w:t xml:space="preserve">Мониторинг и анализ практики </w:t>
            </w:r>
            <w:proofErr w:type="spellStart"/>
            <w:r w:rsidRPr="00B96527">
              <w:rPr>
                <w:rStyle w:val="211pt"/>
                <w:rFonts w:ascii="Times New Roman" w:hAnsi="Times New Roman" w:cs="Times New Roman"/>
                <w:b w:val="0"/>
                <w:sz w:val="24"/>
                <w:szCs w:val="24"/>
              </w:rPr>
              <w:t>правоприменения</w:t>
            </w:r>
            <w:proofErr w:type="spellEnd"/>
            <w:r w:rsidRPr="00B96527">
              <w:rPr>
                <w:rStyle w:val="211pt"/>
                <w:rFonts w:ascii="Times New Roman" w:hAnsi="Times New Roman" w:cs="Times New Roman"/>
                <w:b w:val="0"/>
                <w:sz w:val="24"/>
                <w:szCs w:val="24"/>
              </w:rPr>
              <w:t xml:space="preserve"> Комитетом антимонопольного законодательства</w:t>
            </w:r>
          </w:p>
        </w:tc>
        <w:tc>
          <w:tcPr>
            <w:tcW w:w="4641" w:type="dxa"/>
          </w:tcPr>
          <w:p w:rsidR="00BF450B" w:rsidRPr="00B96527" w:rsidRDefault="005529B5" w:rsidP="0060182C">
            <w:pPr>
              <w:pStyle w:val="20"/>
              <w:shd w:val="clear" w:color="auto" w:fill="auto"/>
              <w:tabs>
                <w:tab w:val="left" w:pos="490"/>
              </w:tabs>
              <w:spacing w:after="0" w:line="240" w:lineRule="auto"/>
              <w:ind w:right="113"/>
              <w:rPr>
                <w:rFonts w:ascii="Times New Roman" w:hAnsi="Times New Roman" w:cs="Times New Roman"/>
                <w:b w:val="0"/>
              </w:rPr>
            </w:pPr>
            <w:r w:rsidRPr="00B96527">
              <w:rPr>
                <w:rStyle w:val="211pt"/>
                <w:rFonts w:ascii="Times New Roman" w:hAnsi="Times New Roman" w:cs="Times New Roman"/>
                <w:bCs/>
                <w:sz w:val="24"/>
                <w:szCs w:val="24"/>
              </w:rPr>
              <w:t>Осуществление сбора, обобщения и анализа информации о применении структурными подразделениями Комитета ан</w:t>
            </w:r>
            <w:r w:rsidR="0060182C" w:rsidRPr="00B96527">
              <w:rPr>
                <w:rStyle w:val="211pt"/>
                <w:rFonts w:ascii="Times New Roman" w:hAnsi="Times New Roman" w:cs="Times New Roman"/>
                <w:bCs/>
                <w:sz w:val="24"/>
                <w:szCs w:val="24"/>
              </w:rPr>
              <w:t>тимонопольного законодательства</w:t>
            </w:r>
          </w:p>
        </w:tc>
        <w:tc>
          <w:tcPr>
            <w:tcW w:w="2427" w:type="dxa"/>
          </w:tcPr>
          <w:p w:rsidR="00BF450B" w:rsidRPr="00B96527" w:rsidRDefault="005529B5" w:rsidP="0060182C">
            <w:pPr>
              <w:pStyle w:val="20"/>
              <w:shd w:val="clear" w:color="auto" w:fill="auto"/>
              <w:spacing w:after="0" w:line="240" w:lineRule="auto"/>
              <w:ind w:right="113"/>
              <w:rPr>
                <w:rStyle w:val="211pt"/>
                <w:rFonts w:ascii="Times New Roman" w:hAnsi="Times New Roman" w:cs="Times New Roman"/>
                <w:sz w:val="24"/>
                <w:szCs w:val="24"/>
              </w:rPr>
            </w:pPr>
            <w:r w:rsidRPr="00B96527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Отдел правового обеспечения, кадров и государственной службы Комитета</w:t>
            </w:r>
          </w:p>
          <w:p w:rsidR="0060182C" w:rsidRPr="00B96527" w:rsidRDefault="0060182C" w:rsidP="0060182C">
            <w:pPr>
              <w:pStyle w:val="20"/>
              <w:shd w:val="clear" w:color="auto" w:fill="auto"/>
              <w:spacing w:after="0" w:line="240" w:lineRule="auto"/>
              <w:ind w:right="113"/>
              <w:rPr>
                <w:rStyle w:val="211pt"/>
                <w:rFonts w:ascii="Times New Roman" w:hAnsi="Times New Roman" w:cs="Times New Roman"/>
                <w:sz w:val="24"/>
                <w:szCs w:val="24"/>
              </w:rPr>
            </w:pPr>
          </w:p>
          <w:p w:rsidR="0060182C" w:rsidRPr="00B96527" w:rsidRDefault="0060182C" w:rsidP="0060182C">
            <w:pPr>
              <w:pStyle w:val="20"/>
              <w:shd w:val="clear" w:color="auto" w:fill="auto"/>
              <w:spacing w:after="0" w:line="240" w:lineRule="auto"/>
              <w:ind w:right="113"/>
              <w:rPr>
                <w:rFonts w:ascii="Times New Roman" w:hAnsi="Times New Roman" w:cs="Times New Roman"/>
                <w:b w:val="0"/>
                <w:bCs w:val="0"/>
                <w:color w:val="000000"/>
                <w:lang w:eastAsia="ru-RU" w:bidi="ru-RU"/>
              </w:rPr>
            </w:pPr>
            <w:r w:rsidRPr="00B96527">
              <w:rPr>
                <w:rFonts w:ascii="Times New Roman" w:hAnsi="Times New Roman" w:cs="Times New Roman"/>
                <w:b w:val="0"/>
                <w:bCs w:val="0"/>
                <w:color w:val="000000"/>
                <w:lang w:eastAsia="ru-RU" w:bidi="ru-RU"/>
              </w:rPr>
              <w:t>Сектор закупок Комитета</w:t>
            </w:r>
          </w:p>
        </w:tc>
        <w:tc>
          <w:tcPr>
            <w:tcW w:w="1683" w:type="dxa"/>
          </w:tcPr>
          <w:p w:rsidR="00BF450B" w:rsidRPr="00B96527" w:rsidRDefault="005529B5" w:rsidP="00716D6C">
            <w:pPr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B96527">
              <w:rPr>
                <w:rStyle w:val="211pt"/>
                <w:rFonts w:ascii="Times New Roman" w:hAnsi="Times New Roman" w:cs="Times New Roman"/>
                <w:b w:val="0"/>
                <w:sz w:val="24"/>
                <w:szCs w:val="24"/>
              </w:rPr>
              <w:t>Постоянно</w:t>
            </w:r>
          </w:p>
        </w:tc>
        <w:tc>
          <w:tcPr>
            <w:tcW w:w="2127" w:type="dxa"/>
          </w:tcPr>
          <w:p w:rsidR="00BF450B" w:rsidRPr="00B96527" w:rsidRDefault="005529B5" w:rsidP="0060182C">
            <w:pPr>
              <w:pStyle w:val="20"/>
              <w:shd w:val="clear" w:color="auto" w:fill="auto"/>
              <w:spacing w:after="0" w:line="240" w:lineRule="auto"/>
              <w:ind w:right="113"/>
              <w:rPr>
                <w:rFonts w:ascii="Times New Roman" w:hAnsi="Times New Roman" w:cs="Times New Roman"/>
              </w:rPr>
            </w:pPr>
            <w:r w:rsidRPr="00B96527">
              <w:rPr>
                <w:rStyle w:val="211pt"/>
                <w:rFonts w:ascii="Times New Roman" w:hAnsi="Times New Roman" w:cs="Times New Roman"/>
                <w:bCs/>
                <w:sz w:val="24"/>
                <w:szCs w:val="24"/>
              </w:rPr>
              <w:t>Соблюдение</w:t>
            </w:r>
            <w:r w:rsidR="0060182C" w:rsidRPr="00B96527">
              <w:rPr>
                <w:rStyle w:val="211pt"/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96527">
              <w:rPr>
                <w:rStyle w:val="211pt"/>
                <w:rFonts w:ascii="Times New Roman" w:hAnsi="Times New Roman" w:cs="Times New Roman"/>
                <w:bCs/>
                <w:sz w:val="24"/>
                <w:szCs w:val="24"/>
              </w:rPr>
              <w:t>Комитетом</w:t>
            </w:r>
            <w:r w:rsidR="0060182C" w:rsidRPr="00B96527">
              <w:rPr>
                <w:rStyle w:val="211pt"/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96527">
              <w:rPr>
                <w:rStyle w:val="211pt"/>
                <w:rFonts w:ascii="Times New Roman" w:hAnsi="Times New Roman" w:cs="Times New Roman"/>
                <w:bCs/>
                <w:sz w:val="24"/>
                <w:szCs w:val="24"/>
              </w:rPr>
              <w:t>требований</w:t>
            </w:r>
            <w:r w:rsidR="0060182C" w:rsidRPr="00B96527">
              <w:rPr>
                <w:rStyle w:val="211pt"/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96527">
              <w:rPr>
                <w:rStyle w:val="211pt"/>
                <w:rFonts w:ascii="Times New Roman" w:hAnsi="Times New Roman" w:cs="Times New Roman"/>
                <w:bCs/>
                <w:sz w:val="24"/>
                <w:szCs w:val="24"/>
              </w:rPr>
              <w:t>антимонопольного</w:t>
            </w:r>
            <w:r w:rsidR="0060182C" w:rsidRPr="00B96527">
              <w:rPr>
                <w:rStyle w:val="211pt"/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96527">
              <w:rPr>
                <w:rStyle w:val="211pt"/>
                <w:rFonts w:ascii="Times New Roman" w:hAnsi="Times New Roman" w:cs="Times New Roman"/>
                <w:sz w:val="24"/>
                <w:szCs w:val="24"/>
              </w:rPr>
              <w:t>законодательства</w:t>
            </w:r>
          </w:p>
        </w:tc>
      </w:tr>
    </w:tbl>
    <w:p w:rsidR="00367D98" w:rsidRPr="00B96527" w:rsidRDefault="00367D98">
      <w:pPr>
        <w:rPr>
          <w:rFonts w:ascii="Times New Roman" w:hAnsi="Times New Roman" w:cs="Times New Roman"/>
          <w:sz w:val="16"/>
          <w:szCs w:val="24"/>
        </w:rPr>
      </w:pPr>
    </w:p>
    <w:sectPr w:rsidR="00367D98" w:rsidRPr="00B96527" w:rsidSect="00B96527"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A5F36"/>
    <w:multiLevelType w:val="hybridMultilevel"/>
    <w:tmpl w:val="9716B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5F5CEE"/>
    <w:multiLevelType w:val="multilevel"/>
    <w:tmpl w:val="B6EAC8F2"/>
    <w:lvl w:ilvl="0">
      <w:start w:val="1"/>
      <w:numFmt w:val="decimal"/>
      <w:lvlText w:val="2.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1DC525D"/>
    <w:multiLevelType w:val="multilevel"/>
    <w:tmpl w:val="E93E870C"/>
    <w:lvl w:ilvl="0">
      <w:start w:val="1"/>
      <w:numFmt w:val="decimal"/>
      <w:lvlText w:val="1.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5E94168"/>
    <w:multiLevelType w:val="multilevel"/>
    <w:tmpl w:val="EB2E0CD2"/>
    <w:lvl w:ilvl="0">
      <w:start w:val="1"/>
      <w:numFmt w:val="decimal"/>
      <w:lvlText w:val="5.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630D"/>
    <w:rsid w:val="00076651"/>
    <w:rsid w:val="0029324A"/>
    <w:rsid w:val="00367D98"/>
    <w:rsid w:val="005529B5"/>
    <w:rsid w:val="00556FDD"/>
    <w:rsid w:val="0060182C"/>
    <w:rsid w:val="00716D6C"/>
    <w:rsid w:val="00840B50"/>
    <w:rsid w:val="009B630D"/>
    <w:rsid w:val="00B96527"/>
    <w:rsid w:val="00BF450B"/>
    <w:rsid w:val="00C1435C"/>
    <w:rsid w:val="00DA6EF4"/>
    <w:rsid w:val="00E21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3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sid w:val="00BF450B"/>
    <w:rPr>
      <w:rFonts w:ascii="Sylfaen" w:eastAsia="Sylfaen" w:hAnsi="Sylfaen" w:cs="Sylfaen"/>
      <w:b/>
      <w:bCs/>
      <w:sz w:val="24"/>
      <w:szCs w:val="24"/>
      <w:shd w:val="clear" w:color="auto" w:fill="FFFFFF"/>
    </w:rPr>
  </w:style>
  <w:style w:type="character" w:customStyle="1" w:styleId="211pt">
    <w:name w:val="Основной текст (2) + 11 pt;Не полужирный"/>
    <w:basedOn w:val="a0"/>
    <w:rsid w:val="00BF450B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a4">
    <w:name w:val="Подпись к картинке"/>
    <w:basedOn w:val="a"/>
    <w:link w:val="a3"/>
    <w:rsid w:val="00BF450B"/>
    <w:pPr>
      <w:widowControl w:val="0"/>
      <w:shd w:val="clear" w:color="auto" w:fill="FFFFFF"/>
      <w:spacing w:after="0" w:line="0" w:lineRule="atLeast"/>
    </w:pPr>
    <w:rPr>
      <w:rFonts w:ascii="Sylfaen" w:eastAsia="Sylfaen" w:hAnsi="Sylfaen" w:cs="Sylfaen"/>
      <w:b/>
      <w:bCs/>
      <w:sz w:val="24"/>
      <w:szCs w:val="24"/>
    </w:rPr>
  </w:style>
  <w:style w:type="character" w:customStyle="1" w:styleId="2">
    <w:name w:val="Основной текст (2)_"/>
    <w:basedOn w:val="a0"/>
    <w:link w:val="20"/>
    <w:rsid w:val="00BF450B"/>
    <w:rPr>
      <w:rFonts w:ascii="Sylfaen" w:eastAsia="Sylfaen" w:hAnsi="Sylfaen" w:cs="Sylfaen"/>
      <w:b/>
      <w:bCs/>
      <w:sz w:val="24"/>
      <w:szCs w:val="2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F450B"/>
    <w:pPr>
      <w:widowControl w:val="0"/>
      <w:shd w:val="clear" w:color="auto" w:fill="FFFFFF"/>
      <w:spacing w:after="60" w:line="0" w:lineRule="atLeast"/>
    </w:pPr>
    <w:rPr>
      <w:rFonts w:ascii="Sylfaen" w:eastAsia="Sylfaen" w:hAnsi="Sylfaen" w:cs="Sylfaen"/>
      <w:b/>
      <w:bCs/>
      <w:sz w:val="24"/>
      <w:szCs w:val="24"/>
    </w:rPr>
  </w:style>
  <w:style w:type="table" w:styleId="a5">
    <w:name w:val="Table Grid"/>
    <w:basedOn w:val="a1"/>
    <w:uiPriority w:val="39"/>
    <w:rsid w:val="00BF4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pt">
    <w:name w:val="Подпись к картинке + 11 pt;Не полужирный;Курсив"/>
    <w:basedOn w:val="a3"/>
    <w:rsid w:val="00BF450B"/>
    <w:rPr>
      <w:rFonts w:ascii="Sylfaen" w:eastAsia="Sylfaen" w:hAnsi="Sylfaen" w:cs="Sylfae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 Васильевна Дудникова</dc:creator>
  <cp:lastModifiedBy>trey</cp:lastModifiedBy>
  <cp:revision>2</cp:revision>
  <dcterms:created xsi:type="dcterms:W3CDTF">2022-07-26T12:52:00Z</dcterms:created>
  <dcterms:modified xsi:type="dcterms:W3CDTF">2022-07-26T12:52:00Z</dcterms:modified>
</cp:coreProperties>
</file>